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AAE" w:rsidRPr="00E90724" w:rsidRDefault="00262AAE" w:rsidP="00A42F62">
      <w:pPr>
        <w:spacing w:line="480" w:lineRule="auto"/>
        <w:jc w:val="center"/>
        <w:rPr>
          <w:rFonts w:ascii="Times New Roman" w:hAnsi="Times New Roman" w:cs="Times New Roman"/>
          <w:sz w:val="24"/>
          <w:szCs w:val="24"/>
        </w:rPr>
      </w:pPr>
      <w:r w:rsidRPr="00E90724">
        <w:rPr>
          <w:rFonts w:ascii="Times New Roman" w:hAnsi="Times New Roman" w:cs="Times New Roman"/>
          <w:sz w:val="24"/>
          <w:szCs w:val="24"/>
        </w:rPr>
        <w:t>Discussion- Price Elasticity</w:t>
      </w:r>
    </w:p>
    <w:p w:rsidR="00A42F62" w:rsidRDefault="00A42F62" w:rsidP="003E2C1B">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Price elasticity measures how a good is responsive to changes in its price in terms of the quantity supplied or the quantity demanded.</w:t>
      </w:r>
      <w:r w:rsidR="006E1870">
        <w:rPr>
          <w:rFonts w:ascii="Times New Roman" w:hAnsi="Times New Roman" w:cs="Times New Roman"/>
          <w:sz w:val="24"/>
          <w:szCs w:val="24"/>
        </w:rPr>
        <w:t xml:space="preserve"> It is the percentage change in quantity supplied or demanded divided by the percentage price change. Elasticity can be very responsive in which case it is elastic or it can fail to be very responsive in which case it is inelastic. The price elasticity of supply is computed as the ratio of the percentage change in quantity supplied to the percentage change in the price of the goods or services</w:t>
      </w:r>
      <w:r w:rsidR="00361FE1">
        <w:rPr>
          <w:rFonts w:ascii="Times New Roman" w:hAnsi="Times New Roman" w:cs="Times New Roman"/>
          <w:sz w:val="24"/>
          <w:szCs w:val="24"/>
        </w:rPr>
        <w:t xml:space="preserve"> (</w:t>
      </w:r>
      <w:r w:rsidR="00361FE1" w:rsidRPr="007F704F">
        <w:rPr>
          <w:rFonts w:ascii="Times New Roman" w:eastAsia="Times New Roman" w:hAnsi="Times New Roman" w:cs="Times New Roman"/>
          <w:sz w:val="24"/>
          <w:szCs w:val="24"/>
        </w:rPr>
        <w:t>Guirguis</w:t>
      </w:r>
      <w:r w:rsidR="00361FE1">
        <w:rPr>
          <w:rFonts w:ascii="Times New Roman" w:eastAsia="Times New Roman" w:hAnsi="Times New Roman" w:cs="Times New Roman"/>
          <w:sz w:val="24"/>
          <w:szCs w:val="24"/>
        </w:rPr>
        <w:t>, 2019)</w:t>
      </w:r>
      <w:r w:rsidR="006E1870">
        <w:rPr>
          <w:rFonts w:ascii="Times New Roman" w:hAnsi="Times New Roman" w:cs="Times New Roman"/>
          <w:sz w:val="24"/>
          <w:szCs w:val="24"/>
        </w:rPr>
        <w:t>. The price elasticity of demand is computed as the ratio of the percentage change in quantity demanded to the percentage price changes of the goods or services.</w:t>
      </w:r>
    </w:p>
    <w:p w:rsidR="006E1870" w:rsidRDefault="006E1870" w:rsidP="003E2C1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Income elasticity depicts the responsiveness of demand due to changes in the consumer’s income. It is the ratio of the change in quantity demanded over the income changes.</w:t>
      </w:r>
      <w:r w:rsidR="00BE1971">
        <w:rPr>
          <w:rFonts w:ascii="Times New Roman" w:hAnsi="Times New Roman" w:cs="Times New Roman"/>
          <w:sz w:val="24"/>
          <w:szCs w:val="24"/>
        </w:rPr>
        <w:t xml:space="preserve"> A high income elasticity indicates a high sensitivity of demand for a good to income changes. In such a case, an increase in the consumers’ income would be followed by an increased demand for a good while a decrease in the income will have a negative effect on demand of that good</w:t>
      </w:r>
      <w:r w:rsidR="002E3087">
        <w:rPr>
          <w:rFonts w:ascii="Times New Roman" w:hAnsi="Times New Roman" w:cs="Times New Roman"/>
          <w:sz w:val="24"/>
          <w:szCs w:val="24"/>
        </w:rPr>
        <w:t xml:space="preserve"> (Ghoddusi and Roy, 2018)</w:t>
      </w:r>
      <w:r w:rsidR="00BE1971">
        <w:rPr>
          <w:rFonts w:ascii="Times New Roman" w:hAnsi="Times New Roman" w:cs="Times New Roman"/>
          <w:sz w:val="24"/>
          <w:szCs w:val="24"/>
        </w:rPr>
        <w:t>.</w:t>
      </w:r>
      <w:r w:rsidR="006F2FF3">
        <w:rPr>
          <w:rFonts w:ascii="Times New Roman" w:hAnsi="Times New Roman" w:cs="Times New Roman"/>
          <w:sz w:val="24"/>
          <w:szCs w:val="24"/>
        </w:rPr>
        <w:t xml:space="preserve"> A low price elasticity indicates that the changes in consumers’ income will have insignificant effect on the demand of a good.</w:t>
      </w:r>
    </w:p>
    <w:p w:rsidR="00EC735D" w:rsidRPr="00E90724" w:rsidRDefault="00EC735D" w:rsidP="003E2C1B">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Normal goods tend to have a positive income elasticity as the demand for these goods increase following an increase in the income of consumers. Therefore, the income elasticity for a normal good is always greater than zero.</w:t>
      </w:r>
      <w:r w:rsidR="005C34D4">
        <w:rPr>
          <w:rFonts w:ascii="Times New Roman" w:hAnsi="Times New Roman" w:cs="Times New Roman"/>
          <w:sz w:val="24"/>
          <w:szCs w:val="24"/>
        </w:rPr>
        <w:t xml:space="preserve"> Inferior goods have a negative income elasticity meaning that their demand reduces as the income of consumers increases</w:t>
      </w:r>
      <w:r w:rsidR="00361FE1">
        <w:rPr>
          <w:rFonts w:ascii="Times New Roman" w:hAnsi="Times New Roman" w:cs="Times New Roman"/>
          <w:sz w:val="24"/>
          <w:szCs w:val="24"/>
        </w:rPr>
        <w:t xml:space="preserve"> </w:t>
      </w:r>
      <w:r w:rsidR="00361FE1">
        <w:rPr>
          <w:rFonts w:ascii="Times New Roman" w:hAnsi="Times New Roman" w:cs="Times New Roman"/>
          <w:sz w:val="24"/>
          <w:szCs w:val="24"/>
        </w:rPr>
        <w:t>(Ghoddusi and Roy, 2018)</w:t>
      </w:r>
      <w:r w:rsidR="005C34D4">
        <w:rPr>
          <w:rFonts w:ascii="Times New Roman" w:hAnsi="Times New Roman" w:cs="Times New Roman"/>
          <w:sz w:val="24"/>
          <w:szCs w:val="24"/>
        </w:rPr>
        <w:t>. Consequently, the income elasticity for inferior goods is often less than zero.</w:t>
      </w:r>
    </w:p>
    <w:p w:rsidR="005C5D7B" w:rsidRDefault="005C5D7B">
      <w:pPr>
        <w:rPr>
          <w:rFonts w:ascii="Times New Roman" w:hAnsi="Times New Roman" w:cs="Times New Roman"/>
          <w:sz w:val="24"/>
          <w:szCs w:val="24"/>
        </w:rPr>
      </w:pPr>
      <w:r>
        <w:rPr>
          <w:rFonts w:ascii="Times New Roman" w:hAnsi="Times New Roman" w:cs="Times New Roman"/>
          <w:sz w:val="24"/>
          <w:szCs w:val="24"/>
        </w:rPr>
        <w:br w:type="page"/>
      </w:r>
    </w:p>
    <w:p w:rsidR="00E90724" w:rsidRPr="007F704F" w:rsidRDefault="00E90724" w:rsidP="007F704F">
      <w:pPr>
        <w:spacing w:line="480" w:lineRule="auto"/>
        <w:jc w:val="center"/>
        <w:rPr>
          <w:rFonts w:ascii="Times New Roman" w:hAnsi="Times New Roman" w:cs="Times New Roman"/>
          <w:sz w:val="24"/>
          <w:szCs w:val="24"/>
        </w:rPr>
      </w:pPr>
      <w:r w:rsidRPr="007F704F">
        <w:rPr>
          <w:rFonts w:ascii="Times New Roman" w:hAnsi="Times New Roman" w:cs="Times New Roman"/>
          <w:sz w:val="24"/>
          <w:szCs w:val="24"/>
        </w:rPr>
        <w:lastRenderedPageBreak/>
        <w:t>References</w:t>
      </w:r>
    </w:p>
    <w:p w:rsidR="00E90724" w:rsidRPr="007F704F" w:rsidRDefault="007F704F" w:rsidP="00446B7C">
      <w:pPr>
        <w:spacing w:line="480" w:lineRule="auto"/>
        <w:ind w:left="720" w:hanging="720"/>
        <w:rPr>
          <w:rFonts w:ascii="Times New Roman" w:hAnsi="Times New Roman" w:cs="Times New Roman"/>
          <w:sz w:val="24"/>
          <w:szCs w:val="24"/>
        </w:rPr>
      </w:pPr>
      <w:r w:rsidRPr="007F704F">
        <w:rPr>
          <w:rFonts w:ascii="Times New Roman" w:hAnsi="Times New Roman" w:cs="Times New Roman"/>
          <w:sz w:val="24"/>
          <w:szCs w:val="24"/>
        </w:rPr>
        <w:t xml:space="preserve">Ghoddusi, H., &amp; Roy, M. (2018). Income Elasticity of Demand </w:t>
      </w:r>
      <w:r w:rsidR="00446B7C" w:rsidRPr="007F704F">
        <w:rPr>
          <w:rFonts w:ascii="Times New Roman" w:hAnsi="Times New Roman" w:cs="Times New Roman"/>
          <w:sz w:val="24"/>
          <w:szCs w:val="24"/>
        </w:rPr>
        <w:t>versus</w:t>
      </w:r>
      <w:r w:rsidRPr="007F704F">
        <w:rPr>
          <w:rFonts w:ascii="Times New Roman" w:hAnsi="Times New Roman" w:cs="Times New Roman"/>
          <w:sz w:val="24"/>
          <w:szCs w:val="24"/>
        </w:rPr>
        <w:t xml:space="preserve"> Income Elasticity of Consumption. </w:t>
      </w:r>
      <w:r w:rsidRPr="007F704F">
        <w:rPr>
          <w:rFonts w:ascii="Times New Roman" w:hAnsi="Times New Roman" w:cs="Times New Roman"/>
          <w:i/>
          <w:iCs/>
          <w:sz w:val="24"/>
          <w:szCs w:val="24"/>
        </w:rPr>
        <w:t>Available at SSRN 3122844</w:t>
      </w:r>
      <w:r w:rsidRPr="007F704F">
        <w:rPr>
          <w:rFonts w:ascii="Times New Roman" w:hAnsi="Times New Roman" w:cs="Times New Roman"/>
          <w:sz w:val="24"/>
          <w:szCs w:val="24"/>
        </w:rPr>
        <w:t>.</w:t>
      </w:r>
    </w:p>
    <w:p w:rsidR="007F704F" w:rsidRPr="007F704F" w:rsidRDefault="007F704F" w:rsidP="00446B7C">
      <w:pPr>
        <w:spacing w:after="0" w:line="480" w:lineRule="auto"/>
        <w:ind w:left="720" w:hanging="720"/>
        <w:rPr>
          <w:rFonts w:ascii="Times New Roman" w:eastAsia="Times New Roman" w:hAnsi="Times New Roman" w:cs="Times New Roman"/>
          <w:sz w:val="24"/>
          <w:szCs w:val="24"/>
        </w:rPr>
      </w:pPr>
      <w:r w:rsidRPr="007F704F">
        <w:rPr>
          <w:rFonts w:ascii="Times New Roman" w:eastAsia="Times New Roman" w:hAnsi="Times New Roman" w:cs="Times New Roman"/>
          <w:sz w:val="24"/>
          <w:szCs w:val="24"/>
        </w:rPr>
        <w:t xml:space="preserve">Guirguis, M. (2019). Price Elasticity of Demand and Supply, Income Elasticity, Direct and Indirect Taxation, and Economic Fairness. </w:t>
      </w:r>
      <w:r w:rsidRPr="007F704F">
        <w:rPr>
          <w:rFonts w:ascii="Times New Roman" w:eastAsia="Times New Roman" w:hAnsi="Times New Roman" w:cs="Times New Roman"/>
          <w:i/>
          <w:iCs/>
          <w:sz w:val="24"/>
          <w:szCs w:val="24"/>
        </w:rPr>
        <w:t>Income Elasticity, Direct and Indirect Taxation, and Economic Fairness (March 13, 2019)</w:t>
      </w:r>
      <w:r w:rsidRPr="007F704F">
        <w:rPr>
          <w:rFonts w:ascii="Times New Roman" w:eastAsia="Times New Roman" w:hAnsi="Times New Roman" w:cs="Times New Roman"/>
          <w:sz w:val="24"/>
          <w:szCs w:val="24"/>
        </w:rPr>
        <w:t>.</w:t>
      </w:r>
    </w:p>
    <w:p w:rsidR="007F704F" w:rsidRPr="007F704F" w:rsidRDefault="007F704F" w:rsidP="007F704F">
      <w:pPr>
        <w:spacing w:line="480" w:lineRule="auto"/>
        <w:rPr>
          <w:rFonts w:ascii="Times New Roman" w:hAnsi="Times New Roman" w:cs="Times New Roman"/>
          <w:sz w:val="24"/>
          <w:szCs w:val="24"/>
        </w:rPr>
      </w:pPr>
    </w:p>
    <w:sectPr w:rsidR="007F704F" w:rsidRPr="007F70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C20" w:rsidRDefault="00AE0C20" w:rsidP="00446B7C">
      <w:pPr>
        <w:spacing w:after="0" w:line="240" w:lineRule="auto"/>
      </w:pPr>
      <w:r>
        <w:separator/>
      </w:r>
    </w:p>
  </w:endnote>
  <w:endnote w:type="continuationSeparator" w:id="0">
    <w:p w:rsidR="00AE0C20" w:rsidRDefault="00AE0C20" w:rsidP="00446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C20" w:rsidRDefault="00AE0C20" w:rsidP="00446B7C">
      <w:pPr>
        <w:spacing w:after="0" w:line="240" w:lineRule="auto"/>
      </w:pPr>
      <w:r>
        <w:separator/>
      </w:r>
    </w:p>
  </w:footnote>
  <w:footnote w:type="continuationSeparator" w:id="0">
    <w:p w:rsidR="00AE0C20" w:rsidRDefault="00AE0C20" w:rsidP="00446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559155"/>
      <w:docPartObj>
        <w:docPartGallery w:val="Page Numbers (Top of Page)"/>
        <w:docPartUnique/>
      </w:docPartObj>
    </w:sdtPr>
    <w:sdtEndPr>
      <w:rPr>
        <w:rFonts w:ascii="Times New Roman" w:hAnsi="Times New Roman" w:cs="Times New Roman"/>
        <w:noProof/>
        <w:sz w:val="24"/>
        <w:szCs w:val="24"/>
      </w:rPr>
    </w:sdtEndPr>
    <w:sdtContent>
      <w:p w:rsidR="00446B7C" w:rsidRPr="00446B7C" w:rsidRDefault="00446B7C">
        <w:pPr>
          <w:pStyle w:val="Header"/>
          <w:jc w:val="right"/>
          <w:rPr>
            <w:rFonts w:ascii="Times New Roman" w:hAnsi="Times New Roman" w:cs="Times New Roman"/>
            <w:sz w:val="24"/>
            <w:szCs w:val="24"/>
          </w:rPr>
        </w:pPr>
        <w:r w:rsidRPr="00446B7C">
          <w:rPr>
            <w:rFonts w:ascii="Times New Roman" w:hAnsi="Times New Roman" w:cs="Times New Roman"/>
            <w:sz w:val="24"/>
            <w:szCs w:val="24"/>
          </w:rPr>
          <w:fldChar w:fldCharType="begin"/>
        </w:r>
        <w:r w:rsidRPr="00446B7C">
          <w:rPr>
            <w:rFonts w:ascii="Times New Roman" w:hAnsi="Times New Roman" w:cs="Times New Roman"/>
            <w:sz w:val="24"/>
            <w:szCs w:val="24"/>
          </w:rPr>
          <w:instrText xml:space="preserve"> PAGE   \* MERGEFORMAT </w:instrText>
        </w:r>
        <w:r w:rsidRPr="00446B7C">
          <w:rPr>
            <w:rFonts w:ascii="Times New Roman" w:hAnsi="Times New Roman" w:cs="Times New Roman"/>
            <w:sz w:val="24"/>
            <w:szCs w:val="24"/>
          </w:rPr>
          <w:fldChar w:fldCharType="separate"/>
        </w:r>
        <w:r w:rsidR="003E2C1B">
          <w:rPr>
            <w:rFonts w:ascii="Times New Roman" w:hAnsi="Times New Roman" w:cs="Times New Roman"/>
            <w:noProof/>
            <w:sz w:val="24"/>
            <w:szCs w:val="24"/>
          </w:rPr>
          <w:t>2</w:t>
        </w:r>
        <w:r w:rsidRPr="00446B7C">
          <w:rPr>
            <w:rFonts w:ascii="Times New Roman" w:hAnsi="Times New Roman" w:cs="Times New Roman"/>
            <w:noProof/>
            <w:sz w:val="24"/>
            <w:szCs w:val="24"/>
          </w:rPr>
          <w:fldChar w:fldCharType="end"/>
        </w:r>
      </w:p>
    </w:sdtContent>
  </w:sdt>
  <w:p w:rsidR="00446B7C" w:rsidRPr="00446B7C" w:rsidRDefault="00446B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AE"/>
    <w:rsid w:val="00262AAE"/>
    <w:rsid w:val="002E3087"/>
    <w:rsid w:val="00361FE1"/>
    <w:rsid w:val="003E2C1B"/>
    <w:rsid w:val="00446B7C"/>
    <w:rsid w:val="005C17ED"/>
    <w:rsid w:val="005C34D4"/>
    <w:rsid w:val="005C5D7B"/>
    <w:rsid w:val="006E1870"/>
    <w:rsid w:val="006F2FF3"/>
    <w:rsid w:val="007F704F"/>
    <w:rsid w:val="00810F92"/>
    <w:rsid w:val="008371DB"/>
    <w:rsid w:val="00A42F62"/>
    <w:rsid w:val="00AE0C20"/>
    <w:rsid w:val="00BE1971"/>
    <w:rsid w:val="00DB0FE6"/>
    <w:rsid w:val="00E90724"/>
    <w:rsid w:val="00EC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F9446-E5A7-40F0-B576-B597971C7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90724"/>
    <w:rPr>
      <w:b/>
      <w:bCs/>
    </w:rPr>
  </w:style>
  <w:style w:type="character" w:styleId="Emphasis">
    <w:name w:val="Emphasis"/>
    <w:basedOn w:val="DefaultParagraphFont"/>
    <w:uiPriority w:val="20"/>
    <w:qFormat/>
    <w:rsid w:val="00E90724"/>
    <w:rPr>
      <w:i/>
      <w:iCs/>
    </w:rPr>
  </w:style>
  <w:style w:type="character" w:customStyle="1" w:styleId="katex-mathml">
    <w:name w:val="katex-mathml"/>
    <w:basedOn w:val="DefaultParagraphFont"/>
    <w:rsid w:val="00E90724"/>
  </w:style>
  <w:style w:type="character" w:customStyle="1" w:styleId="mord">
    <w:name w:val="mord"/>
    <w:basedOn w:val="DefaultParagraphFont"/>
    <w:rsid w:val="00E90724"/>
  </w:style>
  <w:style w:type="character" w:customStyle="1" w:styleId="vlist-s">
    <w:name w:val="vlist-s"/>
    <w:basedOn w:val="DefaultParagraphFont"/>
    <w:rsid w:val="00E90724"/>
  </w:style>
  <w:style w:type="paragraph" w:styleId="Header">
    <w:name w:val="header"/>
    <w:basedOn w:val="Normal"/>
    <w:link w:val="HeaderChar"/>
    <w:uiPriority w:val="99"/>
    <w:unhideWhenUsed/>
    <w:rsid w:val="00446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7C"/>
  </w:style>
  <w:style w:type="paragraph" w:styleId="Footer">
    <w:name w:val="footer"/>
    <w:basedOn w:val="Normal"/>
    <w:link w:val="FooterChar"/>
    <w:uiPriority w:val="99"/>
    <w:unhideWhenUsed/>
    <w:rsid w:val="00446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321692">
      <w:bodyDiv w:val="1"/>
      <w:marLeft w:val="0"/>
      <w:marRight w:val="0"/>
      <w:marTop w:val="0"/>
      <w:marBottom w:val="0"/>
      <w:divBdr>
        <w:top w:val="none" w:sz="0" w:space="0" w:color="auto"/>
        <w:left w:val="none" w:sz="0" w:space="0" w:color="auto"/>
        <w:bottom w:val="none" w:sz="0" w:space="0" w:color="auto"/>
        <w:right w:val="none" w:sz="0" w:space="0" w:color="auto"/>
      </w:divBdr>
      <w:divsChild>
        <w:div w:id="1271275526">
          <w:marLeft w:val="0"/>
          <w:marRight w:val="0"/>
          <w:marTop w:val="0"/>
          <w:marBottom w:val="0"/>
          <w:divBdr>
            <w:top w:val="none" w:sz="0" w:space="0" w:color="auto"/>
            <w:left w:val="none" w:sz="0" w:space="0" w:color="auto"/>
            <w:bottom w:val="none" w:sz="0" w:space="0" w:color="auto"/>
            <w:right w:val="none" w:sz="0" w:space="0" w:color="auto"/>
          </w:divBdr>
        </w:div>
      </w:divsChild>
    </w:div>
    <w:div w:id="181837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2020-02-18T16:12:00Z</dcterms:created>
  <dcterms:modified xsi:type="dcterms:W3CDTF">2020-02-18T17:20:00Z</dcterms:modified>
</cp:coreProperties>
</file>