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246CB40" w14:textId="30F65F21" w:rsidR="004B65E8" w:rsidRPr="004B65E8" w:rsidRDefault="000138AD" w:rsidP="004B65E8">
      <w:pPr>
        <w:spacing w:line="480" w:lineRule="auto"/>
        <w:ind w:firstLine="720"/>
        <w:jc w:val="center"/>
      </w:pPr>
      <w:r>
        <w:t>Discussion Feedbacks</w:t>
      </w:r>
    </w:p>
    <w:p w14:paraId="6CCB5F0E" w14:textId="56572F28" w:rsidR="00DB3A96" w:rsidRDefault="00124E96" w:rsidP="00922BCF">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7615EC4F" w14:textId="77777777" w:rsidR="00DB3A96" w:rsidRDefault="00DB3A96" w:rsidP="00922BCF">
      <w:pPr>
        <w:spacing w:line="480" w:lineRule="auto"/>
      </w:pPr>
    </w:p>
    <w:p w14:paraId="7F92446A" w14:textId="77777777" w:rsidR="00922BCF" w:rsidRDefault="00922BCF" w:rsidP="00922BCF">
      <w:pPr>
        <w:spacing w:line="480" w:lineRule="auto"/>
      </w:pPr>
    </w:p>
    <w:p w14:paraId="0FB61EB2" w14:textId="77777777" w:rsidR="00922BCF" w:rsidRDefault="00922BCF" w:rsidP="00922BCF">
      <w:pPr>
        <w:spacing w:line="480" w:lineRule="auto"/>
        <w:ind w:firstLine="720"/>
        <w:jc w:val="center"/>
      </w:pPr>
    </w:p>
    <w:p w14:paraId="0BEF4F32" w14:textId="2AE87603" w:rsidR="000138AD" w:rsidRDefault="000138AD" w:rsidP="000138AD">
      <w:pPr>
        <w:spacing w:line="480" w:lineRule="auto"/>
        <w:ind w:firstLine="720"/>
        <w:jc w:val="center"/>
      </w:pPr>
      <w:r w:rsidRPr="000138AD">
        <w:lastRenderedPageBreak/>
        <w:t>Discussion Feedbacks</w:t>
      </w:r>
    </w:p>
    <w:p w14:paraId="44BAB67B" w14:textId="0A716168" w:rsidR="00DB545B" w:rsidRPr="00EF00F0" w:rsidRDefault="00DB545B" w:rsidP="00EF00F0">
      <w:pPr>
        <w:spacing w:line="480" w:lineRule="auto"/>
        <w:ind w:firstLine="720"/>
        <w:jc w:val="center"/>
        <w:rPr>
          <w:b/>
        </w:rPr>
      </w:pPr>
      <w:r w:rsidRPr="00EF00F0">
        <w:rPr>
          <w:b/>
        </w:rPr>
        <w:t>Gantt Charts and AON Networks</w:t>
      </w:r>
    </w:p>
    <w:p w14:paraId="2D9A4D71" w14:textId="49F755BD" w:rsidR="007D380E" w:rsidRPr="00EF00F0" w:rsidRDefault="00FB500D" w:rsidP="00EF00F0">
      <w:pPr>
        <w:spacing w:line="480" w:lineRule="auto"/>
        <w:ind w:firstLine="720"/>
        <w:jc w:val="center"/>
        <w:rPr>
          <w:b/>
        </w:rPr>
      </w:pPr>
      <w:r w:rsidRPr="00EF00F0">
        <w:rPr>
          <w:b/>
        </w:rPr>
        <w:t>Feedback O</w:t>
      </w:r>
      <w:r w:rsidR="00DB545B" w:rsidRPr="00EF00F0">
        <w:rPr>
          <w:b/>
        </w:rPr>
        <w:t>ne</w:t>
      </w:r>
    </w:p>
    <w:p w14:paraId="4AE7BC4B" w14:textId="77777777" w:rsidR="00EF00F0" w:rsidRDefault="00EF00F0" w:rsidP="00EF00F0">
      <w:pPr>
        <w:spacing w:line="480" w:lineRule="auto"/>
        <w:ind w:firstLine="720"/>
      </w:pPr>
      <w:r>
        <w:t>The question has been clearly answered, beginning with the purpose of the Gantt chart. The elaboration of the Gantt chart as putt</w:t>
      </w:r>
      <w:bookmarkStart w:id="0" w:name="_GoBack"/>
      <w:bookmarkEnd w:id="0"/>
      <w:r>
        <w:t>ing the completed task for the project against the timetable is distinct. It has been described as the best way to assist one in making the decision on which a task should be done first against the assignment chart (</w:t>
      </w:r>
      <w:proofErr w:type="spellStart"/>
      <w:r>
        <w:t>Rastogi</w:t>
      </w:r>
      <w:proofErr w:type="spellEnd"/>
      <w:r>
        <w:t>, 2015). Also, the answer to the question on AON networks has been expressed in clear terms. Contrasting and comparing the two requires one to describe how each one functions adequately. The Gantt chart and AON network are different only in that the Gant chart contains the activities represented in a bar. In contrast, the AON networks use a superior diagram model showing various tasks and their corresponding schedules. However, the Work Breakdown Structures have not been elaborately contrasted to a project schedule, although the function of WBS on developing the project schedule is well explained.</w:t>
      </w:r>
    </w:p>
    <w:p w14:paraId="372F56F3" w14:textId="77777777" w:rsidR="00EF00F0" w:rsidRPr="00EF00F0" w:rsidRDefault="00EF00F0" w:rsidP="00EF00F0">
      <w:pPr>
        <w:spacing w:line="480" w:lineRule="auto"/>
        <w:ind w:firstLine="720"/>
        <w:jc w:val="center"/>
        <w:rPr>
          <w:b/>
        </w:rPr>
      </w:pPr>
      <w:r w:rsidRPr="00EF00F0">
        <w:rPr>
          <w:b/>
        </w:rPr>
        <w:t>Feedback Two</w:t>
      </w:r>
    </w:p>
    <w:p w14:paraId="2E27699E" w14:textId="77777777" w:rsidR="00EF00F0" w:rsidRDefault="00EF00F0" w:rsidP="00EF00F0">
      <w:pPr>
        <w:spacing w:line="480" w:lineRule="auto"/>
        <w:ind w:firstLine="720"/>
      </w:pPr>
      <w:r>
        <w:t xml:space="preserve">The second discussion brings out the general description of the Gantt chart and clearly explains it from Cori's perspective. According to Cori, a Gantt chart illustrates the duration of the project without describing the relationships among the various tasks (Cori, 1985). The discussion offers an absolute explanation, including the list of all the benefits of a Gantt chart. The AON has also been smoothly described, hence answering the second question in the right way, that is, comparing and contrasting AON to the Gant chart. The similarities between Gantt charts and AON diagrams have also been explicitly laid out. The Work Breakdown Structures are correctly </w:t>
      </w:r>
      <w:r>
        <w:lastRenderedPageBreak/>
        <w:t>described as a checklist of the tasks needed to meet the project's objectives. In contrast, the project schedule has been described as the link of the project's activities with dates, resources, and milestones for each task. The differences have also been clearly outlined.</w:t>
      </w:r>
    </w:p>
    <w:p w14:paraId="390B94DC" w14:textId="77777777" w:rsidR="00EF00F0" w:rsidRPr="00EF00F0" w:rsidRDefault="00EF00F0" w:rsidP="00EF00F0">
      <w:pPr>
        <w:spacing w:line="480" w:lineRule="auto"/>
        <w:ind w:firstLine="720"/>
        <w:jc w:val="center"/>
        <w:rPr>
          <w:b/>
        </w:rPr>
      </w:pPr>
      <w:r w:rsidRPr="00EF00F0">
        <w:rPr>
          <w:b/>
        </w:rPr>
        <w:t>Opportunity Cost and Capital Rationing</w:t>
      </w:r>
    </w:p>
    <w:p w14:paraId="0C5A9A2F" w14:textId="77777777" w:rsidR="00EF00F0" w:rsidRPr="00EF00F0" w:rsidRDefault="00EF00F0" w:rsidP="00EF00F0">
      <w:pPr>
        <w:spacing w:line="480" w:lineRule="auto"/>
        <w:ind w:firstLine="720"/>
        <w:jc w:val="center"/>
        <w:rPr>
          <w:b/>
        </w:rPr>
      </w:pPr>
      <w:r w:rsidRPr="00EF00F0">
        <w:rPr>
          <w:b/>
        </w:rPr>
        <w:t>Feedback Three</w:t>
      </w:r>
    </w:p>
    <w:p w14:paraId="0AD9C3E3" w14:textId="77777777" w:rsidR="00EF00F0" w:rsidRDefault="00EF00F0" w:rsidP="00EF00F0">
      <w:pPr>
        <w:spacing w:line="480" w:lineRule="auto"/>
        <w:ind w:firstLine="720"/>
      </w:pPr>
      <w:r>
        <w:t xml:space="preserve">The description of opportunity cost as the process of taking advantage of something to add benefit to oneself is best described with the inclusion of an example. The discussion has further expressed opportunity cost, according to </w:t>
      </w:r>
      <w:proofErr w:type="spellStart"/>
      <w:r>
        <w:t>Kokemuller</w:t>
      </w:r>
      <w:proofErr w:type="spellEnd"/>
      <w:r>
        <w:t>, as the benefits attained over the choice made (</w:t>
      </w:r>
      <w:proofErr w:type="spellStart"/>
      <w:r>
        <w:t>Kokemuller</w:t>
      </w:r>
      <w:proofErr w:type="spellEnd"/>
      <w:r>
        <w:t>, 2017). The capital rationing has also been definitely explained as the process by which shareholder contribution is utilized maximally by placing the limited capital in various projects.</w:t>
      </w:r>
    </w:p>
    <w:p w14:paraId="5F3C8187" w14:textId="77777777" w:rsidR="00EF00F0" w:rsidRDefault="00EF00F0" w:rsidP="00EF00F0">
      <w:pPr>
        <w:spacing w:line="480" w:lineRule="auto"/>
        <w:ind w:firstLine="720"/>
      </w:pPr>
      <w:r>
        <w:t>Additionally, the benefits of the accounting rate of return in businesses have been outlined, as well as its limitations. However, it would be easier to distinguish these advantages and disadvantages if they were listed in points form. Nevertheless, the subtopics assist the reader in understanding the discussion beforehand.</w:t>
      </w:r>
    </w:p>
    <w:p w14:paraId="2F41FC60" w14:textId="77777777" w:rsidR="00EF00F0" w:rsidRPr="00EF00F0" w:rsidRDefault="00EF00F0" w:rsidP="00EF00F0">
      <w:pPr>
        <w:spacing w:line="480" w:lineRule="auto"/>
        <w:ind w:firstLine="720"/>
        <w:jc w:val="center"/>
        <w:rPr>
          <w:b/>
        </w:rPr>
      </w:pPr>
      <w:r w:rsidRPr="00EF00F0">
        <w:rPr>
          <w:b/>
        </w:rPr>
        <w:t>Feedback Four</w:t>
      </w:r>
    </w:p>
    <w:p w14:paraId="117BAAAC" w14:textId="77777777" w:rsidR="00EF00F0" w:rsidRDefault="00EF00F0" w:rsidP="00EF00F0">
      <w:pPr>
        <w:spacing w:line="480" w:lineRule="auto"/>
        <w:ind w:firstLine="720"/>
      </w:pPr>
      <w:r>
        <w:t>In this discussion, the description of opportunity cost is definite and direct. The further explanation offers a better understanding to the reader as it defines in simpler terms. The generalization of opportunity cost in the discussions indicates that one shouldn't only perceive opportunity cost from a monetary point of view. The question has been correctly answered with the inclusion of the significance of capital budgeting.</w:t>
      </w:r>
    </w:p>
    <w:p w14:paraId="4EE230CC" w14:textId="504F3A03" w:rsidR="00C25C9D" w:rsidRDefault="00EF00F0" w:rsidP="00EF00F0">
      <w:pPr>
        <w:spacing w:line="480" w:lineRule="auto"/>
        <w:ind w:firstLine="720"/>
      </w:pPr>
      <w:r>
        <w:lastRenderedPageBreak/>
        <w:t>Moreover, an example has been provided to offer a clear depiction of the concept. Capital rationing has also clearly been elaborated in short sentences and shows a clear understanding of the conception. Additionally, examples of a strength and a weakness of the accounting rate of return have been provided, as directed in the question.</w:t>
      </w:r>
    </w:p>
    <w:p w14:paraId="728ABC81" w14:textId="77777777" w:rsidR="00320358" w:rsidRPr="000138AD" w:rsidRDefault="00320358" w:rsidP="007D380E">
      <w:pPr>
        <w:spacing w:line="480" w:lineRule="auto"/>
        <w:ind w:firstLine="720"/>
      </w:pPr>
    </w:p>
    <w:p w14:paraId="67A233C0" w14:textId="4CDCF3B7" w:rsidR="000138AD" w:rsidRDefault="000138AD">
      <w:pPr>
        <w:rPr>
          <w:rFonts w:eastAsia="Times New Roman"/>
        </w:rPr>
      </w:pPr>
      <w:r>
        <w:rPr>
          <w:rFonts w:eastAsia="Times New Roman"/>
        </w:rPr>
        <w:br w:type="page"/>
      </w:r>
    </w:p>
    <w:p w14:paraId="0F8256D4" w14:textId="1E66C50D" w:rsidR="0067082D" w:rsidRDefault="0067082D" w:rsidP="0067082D">
      <w:pPr>
        <w:spacing w:line="480" w:lineRule="auto"/>
        <w:ind w:firstLine="720"/>
        <w:jc w:val="center"/>
        <w:rPr>
          <w:rFonts w:eastAsia="Times New Roman"/>
        </w:rPr>
      </w:pPr>
      <w:r>
        <w:rPr>
          <w:rFonts w:eastAsia="Times New Roman"/>
        </w:rPr>
        <w:lastRenderedPageBreak/>
        <w:t>References</w:t>
      </w:r>
    </w:p>
    <w:p w14:paraId="4836FFFC" w14:textId="77777777" w:rsidR="00E154B8" w:rsidRPr="00E154B8" w:rsidRDefault="00E154B8" w:rsidP="00E154B8">
      <w:pPr>
        <w:spacing w:line="480" w:lineRule="auto"/>
        <w:ind w:left="720" w:hanging="720"/>
        <w:rPr>
          <w:rFonts w:eastAsia="Times New Roman"/>
        </w:rPr>
      </w:pPr>
      <w:proofErr w:type="spellStart"/>
      <w:r w:rsidRPr="00E154B8">
        <w:rPr>
          <w:rFonts w:eastAsia="Times New Roman"/>
        </w:rPr>
        <w:t>Rastogi</w:t>
      </w:r>
      <w:proofErr w:type="spellEnd"/>
      <w:r w:rsidRPr="00E154B8">
        <w:rPr>
          <w:rFonts w:eastAsia="Times New Roman"/>
        </w:rPr>
        <w:t>, D. (2015). Mind mapping to Gantt charts. </w:t>
      </w:r>
      <w:r w:rsidRPr="00E154B8">
        <w:rPr>
          <w:rFonts w:eastAsia="Times New Roman"/>
          <w:i/>
          <w:iCs/>
        </w:rPr>
        <w:t>International Journal of Scientific and Research Publications</w:t>
      </w:r>
      <w:r w:rsidRPr="00E154B8">
        <w:rPr>
          <w:rFonts w:eastAsia="Times New Roman"/>
        </w:rPr>
        <w:t>, </w:t>
      </w:r>
      <w:r w:rsidRPr="00E154B8">
        <w:rPr>
          <w:rFonts w:eastAsia="Times New Roman"/>
          <w:i/>
          <w:iCs/>
        </w:rPr>
        <w:t>5</w:t>
      </w:r>
      <w:r w:rsidRPr="00E154B8">
        <w:rPr>
          <w:rFonts w:eastAsia="Times New Roman"/>
        </w:rPr>
        <w:t>(8), 1-5. </w:t>
      </w:r>
    </w:p>
    <w:p w14:paraId="1861A66D" w14:textId="77777777" w:rsidR="0061564A" w:rsidRDefault="0061564A" w:rsidP="00D53C27">
      <w:pPr>
        <w:spacing w:line="480" w:lineRule="auto"/>
        <w:ind w:left="720" w:hanging="720"/>
        <w:rPr>
          <w:rFonts w:eastAsia="Times New Roman"/>
        </w:rPr>
      </w:pPr>
      <w:r w:rsidRPr="0061564A">
        <w:rPr>
          <w:rFonts w:eastAsia="Times New Roman"/>
        </w:rPr>
        <w:t>Reddy, V. S., &amp; Devi, T. R. (2012). Work breakdown structure of the project. </w:t>
      </w:r>
      <w:r w:rsidRPr="0061564A">
        <w:rPr>
          <w:rFonts w:eastAsia="Times New Roman"/>
          <w:i/>
          <w:iCs/>
        </w:rPr>
        <w:t>International Journal of Engineering Research and Applications</w:t>
      </w:r>
      <w:r w:rsidRPr="0061564A">
        <w:rPr>
          <w:rFonts w:eastAsia="Times New Roman"/>
        </w:rPr>
        <w:t>, </w:t>
      </w:r>
      <w:r w:rsidRPr="0061564A">
        <w:rPr>
          <w:rFonts w:eastAsia="Times New Roman"/>
          <w:i/>
          <w:iCs/>
        </w:rPr>
        <w:t>2</w:t>
      </w:r>
      <w:r w:rsidRPr="0061564A">
        <w:rPr>
          <w:rFonts w:eastAsia="Times New Roman"/>
        </w:rPr>
        <w:t>(2), 683-686. </w:t>
      </w:r>
    </w:p>
    <w:p w14:paraId="2C4BA721" w14:textId="77777777" w:rsidR="0061564A" w:rsidRPr="0061564A" w:rsidRDefault="0061564A" w:rsidP="0061564A">
      <w:pPr>
        <w:spacing w:line="480" w:lineRule="auto"/>
        <w:ind w:left="720" w:hanging="720"/>
        <w:rPr>
          <w:rFonts w:eastAsia="Times New Roman"/>
        </w:rPr>
      </w:pPr>
      <w:r w:rsidRPr="0061564A">
        <w:rPr>
          <w:rFonts w:eastAsia="Times New Roman"/>
        </w:rPr>
        <w:t xml:space="preserve">Cori, K. A. (1985). Fundamentals of master scheduling for the project manager. </w:t>
      </w:r>
      <w:r w:rsidRPr="0061564A">
        <w:rPr>
          <w:rFonts w:eastAsia="Times New Roman"/>
          <w:i/>
          <w:iCs/>
        </w:rPr>
        <w:t>Project Management Journal, 16</w:t>
      </w:r>
      <w:r w:rsidRPr="0061564A">
        <w:rPr>
          <w:rFonts w:eastAsia="Times New Roman"/>
        </w:rPr>
        <w:t>(2), 78–89</w:t>
      </w:r>
    </w:p>
    <w:p w14:paraId="172A3474" w14:textId="77777777" w:rsidR="0061564A" w:rsidRPr="0061564A" w:rsidRDefault="0061564A" w:rsidP="0061564A">
      <w:pPr>
        <w:spacing w:line="480" w:lineRule="auto"/>
        <w:ind w:left="720" w:hanging="720"/>
        <w:rPr>
          <w:rFonts w:eastAsia="Times New Roman"/>
        </w:rPr>
      </w:pPr>
      <w:proofErr w:type="spellStart"/>
      <w:r w:rsidRPr="0061564A">
        <w:rPr>
          <w:rFonts w:eastAsia="Times New Roman"/>
        </w:rPr>
        <w:t>Kokemuller</w:t>
      </w:r>
      <w:proofErr w:type="spellEnd"/>
      <w:r w:rsidRPr="0061564A">
        <w:rPr>
          <w:rFonts w:eastAsia="Times New Roman"/>
        </w:rPr>
        <w:t>, N. (2017, September 26). Advantages &amp; Disadvantages of Opportunity Costs. Retrieved from https://bizfluent.com/info-8539694-advantages-disadvantages-opportunity-costs.html</w:t>
      </w:r>
    </w:p>
    <w:p w14:paraId="27FEB11C" w14:textId="77777777" w:rsidR="0061564A" w:rsidRPr="0061564A" w:rsidRDefault="0061564A" w:rsidP="0061564A">
      <w:pPr>
        <w:spacing w:line="480" w:lineRule="auto"/>
        <w:ind w:left="720" w:hanging="720"/>
        <w:rPr>
          <w:rFonts w:eastAsia="Times New Roman"/>
        </w:rPr>
      </w:pPr>
      <w:hyperlink r:id="rId8" w:history="1">
        <w:r w:rsidRPr="0061564A">
          <w:rPr>
            <w:rStyle w:val="Hyperlink"/>
            <w:rFonts w:eastAsia="Times New Roman"/>
          </w:rPr>
          <w:t>https://courses.lumenlearning.com/boundless-finance/chapter/cash-flow-analysis-and-other-factors/</w:t>
        </w:r>
      </w:hyperlink>
    </w:p>
    <w:p w14:paraId="50A4EC3C" w14:textId="753A6D66" w:rsidR="00AF7454" w:rsidRDefault="00D53C27" w:rsidP="00D53C27">
      <w:pPr>
        <w:spacing w:line="480" w:lineRule="auto"/>
        <w:ind w:left="720" w:hanging="720"/>
        <w:rPr>
          <w:rFonts w:eastAsia="Times New Roman"/>
        </w:rPr>
      </w:pPr>
      <w:r w:rsidRPr="00D53C27">
        <w:rPr>
          <w:rFonts w:eastAsia="Times New Roman"/>
        </w:rPr>
        <w:br/>
      </w:r>
    </w:p>
    <w:p w14:paraId="4CFFA18A" w14:textId="77777777" w:rsidR="0067082D" w:rsidRDefault="0067082D" w:rsidP="0067082D"/>
    <w:p w14:paraId="5FB01604" w14:textId="77777777" w:rsidR="0067082D" w:rsidRDefault="0067082D" w:rsidP="00DB3A96">
      <w:pPr>
        <w:spacing w:line="480" w:lineRule="auto"/>
        <w:ind w:firstLine="720"/>
      </w:pP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2A7E4B" w14:textId="77777777" w:rsidR="00FC13A2" w:rsidRDefault="00FC13A2">
      <w:pPr>
        <w:spacing w:after="0" w:line="240" w:lineRule="auto"/>
      </w:pPr>
      <w:r>
        <w:separator/>
      </w:r>
    </w:p>
  </w:endnote>
  <w:endnote w:type="continuationSeparator" w:id="0">
    <w:p w14:paraId="47DBCA45" w14:textId="77777777" w:rsidR="00FC13A2" w:rsidRDefault="00FC1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206D7C" w14:textId="77777777" w:rsidR="00FC13A2" w:rsidRDefault="00FC13A2">
      <w:pPr>
        <w:spacing w:after="0" w:line="240" w:lineRule="auto"/>
      </w:pPr>
      <w:r>
        <w:separator/>
      </w:r>
    </w:p>
  </w:footnote>
  <w:footnote w:type="continuationSeparator" w:id="0">
    <w:p w14:paraId="4AED74DA" w14:textId="77777777" w:rsidR="00FC13A2" w:rsidRDefault="00FC13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16DDB086" w:rsidR="000C5964" w:rsidRDefault="002D69FF">
    <w:pPr>
      <w:pStyle w:val="Header"/>
    </w:pPr>
    <w:r w:rsidRPr="002D69FF">
      <w:t>DISCUSSION FEEDBACKS</w:t>
    </w:r>
    <w:r w:rsidR="00124E96">
      <w:tab/>
    </w:r>
    <w:r w:rsidR="00124E96">
      <w:tab/>
    </w:r>
    <w:r w:rsidR="00124E96">
      <w:fldChar w:fldCharType="begin"/>
    </w:r>
    <w:r w:rsidR="00124E96">
      <w:instrText xml:space="preserve"> PAGE   \* MERGEFORMAT </w:instrText>
    </w:r>
    <w:r w:rsidR="00124E96">
      <w:fldChar w:fldCharType="separate"/>
    </w:r>
    <w:r w:rsidR="00EF00F0">
      <w:rPr>
        <w:noProof/>
      </w:rPr>
      <w:t>5</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41A490DC" w:rsidR="000C5964" w:rsidRDefault="00124E96" w:rsidP="005F776D">
    <w:pPr>
      <w:spacing w:line="480" w:lineRule="auto"/>
    </w:pPr>
    <w:r>
      <w:t xml:space="preserve">Running head: </w:t>
    </w:r>
    <w:r w:rsidR="002D69FF" w:rsidRPr="002D69FF">
      <w:t>DISCUSSION FEEDBACKS</w:t>
    </w:r>
    <w:r w:rsidR="00603148">
      <w:tab/>
    </w:r>
    <w:r w:rsidR="00AA78E6">
      <w:t xml:space="preserve">      </w:t>
    </w:r>
    <w:r w:rsidR="002D69FF">
      <w:t xml:space="preserve"> </w:t>
    </w:r>
    <w:r w:rsidR="005F776D">
      <w:t xml:space="preserve">        </w:t>
    </w:r>
    <w:r w:rsidR="006B10A7">
      <w:t xml:space="preserve">                                    </w:t>
    </w:r>
    <w:r w:rsidR="005F776D">
      <w:t xml:space="preserve">                   </w:t>
    </w:r>
    <w:r>
      <w:fldChar w:fldCharType="begin"/>
    </w:r>
    <w:r>
      <w:instrText xml:space="preserve"> PAGE   \* MERGEFORMAT </w:instrText>
    </w:r>
    <w:r>
      <w:fldChar w:fldCharType="separate"/>
    </w:r>
    <w:r w:rsidR="00EF00F0">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08524D"/>
    <w:multiLevelType w:val="multilevel"/>
    <w:tmpl w:val="3C94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1C46251"/>
    <w:multiLevelType w:val="hybridMultilevel"/>
    <w:tmpl w:val="F9E450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5284544"/>
    <w:multiLevelType w:val="multilevel"/>
    <w:tmpl w:val="FDBCC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12B23"/>
    <w:rsid w:val="000138AD"/>
    <w:rsid w:val="0004099B"/>
    <w:rsid w:val="000609DC"/>
    <w:rsid w:val="000858DE"/>
    <w:rsid w:val="000942A1"/>
    <w:rsid w:val="00095F77"/>
    <w:rsid w:val="000C5964"/>
    <w:rsid w:val="000E0370"/>
    <w:rsid w:val="000E1198"/>
    <w:rsid w:val="000E586C"/>
    <w:rsid w:val="000E660E"/>
    <w:rsid w:val="000F0D68"/>
    <w:rsid w:val="000F1F6B"/>
    <w:rsid w:val="00120FC6"/>
    <w:rsid w:val="00123208"/>
    <w:rsid w:val="00124E96"/>
    <w:rsid w:val="00127E8D"/>
    <w:rsid w:val="001673FE"/>
    <w:rsid w:val="001717BF"/>
    <w:rsid w:val="001922D4"/>
    <w:rsid w:val="001954F1"/>
    <w:rsid w:val="001B78AC"/>
    <w:rsid w:val="001C3356"/>
    <w:rsid w:val="001C514F"/>
    <w:rsid w:val="001E69BA"/>
    <w:rsid w:val="001E72D2"/>
    <w:rsid w:val="00200448"/>
    <w:rsid w:val="00205334"/>
    <w:rsid w:val="00205F60"/>
    <w:rsid w:val="00235EF5"/>
    <w:rsid w:val="00250936"/>
    <w:rsid w:val="0025568D"/>
    <w:rsid w:val="00274616"/>
    <w:rsid w:val="00283A80"/>
    <w:rsid w:val="002A3E80"/>
    <w:rsid w:val="002B4377"/>
    <w:rsid w:val="002B570E"/>
    <w:rsid w:val="002D69FF"/>
    <w:rsid w:val="002E42EA"/>
    <w:rsid w:val="002E50DF"/>
    <w:rsid w:val="002E5CCB"/>
    <w:rsid w:val="002E747B"/>
    <w:rsid w:val="00312ECD"/>
    <w:rsid w:val="00320358"/>
    <w:rsid w:val="00325EA2"/>
    <w:rsid w:val="00341A79"/>
    <w:rsid w:val="00341C6E"/>
    <w:rsid w:val="00391085"/>
    <w:rsid w:val="003A4C4D"/>
    <w:rsid w:val="003B67B6"/>
    <w:rsid w:val="003C0699"/>
    <w:rsid w:val="003E0DF3"/>
    <w:rsid w:val="003E6F9C"/>
    <w:rsid w:val="00400081"/>
    <w:rsid w:val="004011FA"/>
    <w:rsid w:val="0041003C"/>
    <w:rsid w:val="00411C50"/>
    <w:rsid w:val="004176A3"/>
    <w:rsid w:val="0042628F"/>
    <w:rsid w:val="00430421"/>
    <w:rsid w:val="004443AA"/>
    <w:rsid w:val="00445721"/>
    <w:rsid w:val="004575B8"/>
    <w:rsid w:val="0046352D"/>
    <w:rsid w:val="004679CD"/>
    <w:rsid w:val="004702B4"/>
    <w:rsid w:val="004856FF"/>
    <w:rsid w:val="004B65E8"/>
    <w:rsid w:val="004B7958"/>
    <w:rsid w:val="004D621A"/>
    <w:rsid w:val="004F73FC"/>
    <w:rsid w:val="00502878"/>
    <w:rsid w:val="005178DE"/>
    <w:rsid w:val="00517D6B"/>
    <w:rsid w:val="00524E71"/>
    <w:rsid w:val="005254CE"/>
    <w:rsid w:val="005262DA"/>
    <w:rsid w:val="0053023C"/>
    <w:rsid w:val="00535F52"/>
    <w:rsid w:val="00542539"/>
    <w:rsid w:val="00543E00"/>
    <w:rsid w:val="005472A9"/>
    <w:rsid w:val="00562A86"/>
    <w:rsid w:val="005777FD"/>
    <w:rsid w:val="005816D9"/>
    <w:rsid w:val="00582838"/>
    <w:rsid w:val="00596F43"/>
    <w:rsid w:val="005C020E"/>
    <w:rsid w:val="005C5173"/>
    <w:rsid w:val="005C6DE9"/>
    <w:rsid w:val="005D2B0E"/>
    <w:rsid w:val="005F4C23"/>
    <w:rsid w:val="005F776D"/>
    <w:rsid w:val="005F7CE7"/>
    <w:rsid w:val="00603148"/>
    <w:rsid w:val="0061517F"/>
    <w:rsid w:val="0061564A"/>
    <w:rsid w:val="00640076"/>
    <w:rsid w:val="00642861"/>
    <w:rsid w:val="006518DD"/>
    <w:rsid w:val="00651F53"/>
    <w:rsid w:val="0065425F"/>
    <w:rsid w:val="0066468A"/>
    <w:rsid w:val="00667892"/>
    <w:rsid w:val="0067082D"/>
    <w:rsid w:val="00672948"/>
    <w:rsid w:val="0068160D"/>
    <w:rsid w:val="006A4049"/>
    <w:rsid w:val="006A4738"/>
    <w:rsid w:val="006A69D2"/>
    <w:rsid w:val="006B10A7"/>
    <w:rsid w:val="006C5A84"/>
    <w:rsid w:val="006D0AF3"/>
    <w:rsid w:val="006D3115"/>
    <w:rsid w:val="006E14E5"/>
    <w:rsid w:val="006E2F7A"/>
    <w:rsid w:val="006E4A0E"/>
    <w:rsid w:val="006E6301"/>
    <w:rsid w:val="006E68AE"/>
    <w:rsid w:val="006E6B9B"/>
    <w:rsid w:val="006E72B6"/>
    <w:rsid w:val="006F0A42"/>
    <w:rsid w:val="006F5729"/>
    <w:rsid w:val="007040C0"/>
    <w:rsid w:val="00711A6B"/>
    <w:rsid w:val="00717001"/>
    <w:rsid w:val="00731084"/>
    <w:rsid w:val="00764CD8"/>
    <w:rsid w:val="007907D2"/>
    <w:rsid w:val="0079459F"/>
    <w:rsid w:val="00795EA9"/>
    <w:rsid w:val="007C391B"/>
    <w:rsid w:val="007D380E"/>
    <w:rsid w:val="007E7A9F"/>
    <w:rsid w:val="007F0365"/>
    <w:rsid w:val="00804DEF"/>
    <w:rsid w:val="00850836"/>
    <w:rsid w:val="00856C96"/>
    <w:rsid w:val="00871AF1"/>
    <w:rsid w:val="00872B89"/>
    <w:rsid w:val="008978BA"/>
    <w:rsid w:val="008A1356"/>
    <w:rsid w:val="008B14DF"/>
    <w:rsid w:val="008D4196"/>
    <w:rsid w:val="008E0EC4"/>
    <w:rsid w:val="008F4073"/>
    <w:rsid w:val="008F42A8"/>
    <w:rsid w:val="008F49DB"/>
    <w:rsid w:val="008F771A"/>
    <w:rsid w:val="00901608"/>
    <w:rsid w:val="00920622"/>
    <w:rsid w:val="00922BCF"/>
    <w:rsid w:val="00954BED"/>
    <w:rsid w:val="009649B3"/>
    <w:rsid w:val="00983CF5"/>
    <w:rsid w:val="00990F8C"/>
    <w:rsid w:val="009C5022"/>
    <w:rsid w:val="00A15DAA"/>
    <w:rsid w:val="00A21CAB"/>
    <w:rsid w:val="00A23F14"/>
    <w:rsid w:val="00A305D2"/>
    <w:rsid w:val="00A374A8"/>
    <w:rsid w:val="00A60407"/>
    <w:rsid w:val="00A638E4"/>
    <w:rsid w:val="00A7614D"/>
    <w:rsid w:val="00A908CB"/>
    <w:rsid w:val="00A91C43"/>
    <w:rsid w:val="00A92631"/>
    <w:rsid w:val="00A9271E"/>
    <w:rsid w:val="00A92B2A"/>
    <w:rsid w:val="00A935B4"/>
    <w:rsid w:val="00A95C54"/>
    <w:rsid w:val="00AA0EB5"/>
    <w:rsid w:val="00AA6F5A"/>
    <w:rsid w:val="00AA6FF6"/>
    <w:rsid w:val="00AA78E6"/>
    <w:rsid w:val="00AC5101"/>
    <w:rsid w:val="00AD42BE"/>
    <w:rsid w:val="00AD78D0"/>
    <w:rsid w:val="00AF7454"/>
    <w:rsid w:val="00B31994"/>
    <w:rsid w:val="00B31AD8"/>
    <w:rsid w:val="00B34385"/>
    <w:rsid w:val="00B3541B"/>
    <w:rsid w:val="00B651CF"/>
    <w:rsid w:val="00C01E80"/>
    <w:rsid w:val="00C03D28"/>
    <w:rsid w:val="00C16B86"/>
    <w:rsid w:val="00C24DE0"/>
    <w:rsid w:val="00C25C9D"/>
    <w:rsid w:val="00C419FC"/>
    <w:rsid w:val="00C61DF9"/>
    <w:rsid w:val="00C66B5D"/>
    <w:rsid w:val="00C77C8F"/>
    <w:rsid w:val="00C81192"/>
    <w:rsid w:val="00C82270"/>
    <w:rsid w:val="00C82553"/>
    <w:rsid w:val="00C84394"/>
    <w:rsid w:val="00CA3DC5"/>
    <w:rsid w:val="00CA77C4"/>
    <w:rsid w:val="00CA7E48"/>
    <w:rsid w:val="00CB3EEF"/>
    <w:rsid w:val="00D35063"/>
    <w:rsid w:val="00D40778"/>
    <w:rsid w:val="00D53C27"/>
    <w:rsid w:val="00D64CD9"/>
    <w:rsid w:val="00D67C9C"/>
    <w:rsid w:val="00D75A76"/>
    <w:rsid w:val="00D7670B"/>
    <w:rsid w:val="00D77B78"/>
    <w:rsid w:val="00D824D6"/>
    <w:rsid w:val="00DB3A96"/>
    <w:rsid w:val="00DB545B"/>
    <w:rsid w:val="00DC03AF"/>
    <w:rsid w:val="00DD0658"/>
    <w:rsid w:val="00DF099D"/>
    <w:rsid w:val="00DF46A2"/>
    <w:rsid w:val="00E154B8"/>
    <w:rsid w:val="00E46D5E"/>
    <w:rsid w:val="00E65939"/>
    <w:rsid w:val="00E73485"/>
    <w:rsid w:val="00E81BD2"/>
    <w:rsid w:val="00E906C8"/>
    <w:rsid w:val="00EA687F"/>
    <w:rsid w:val="00EF00F0"/>
    <w:rsid w:val="00F03B24"/>
    <w:rsid w:val="00F56438"/>
    <w:rsid w:val="00F57324"/>
    <w:rsid w:val="00F8558A"/>
    <w:rsid w:val="00FB500D"/>
    <w:rsid w:val="00FC13A2"/>
    <w:rsid w:val="00FD35D7"/>
    <w:rsid w:val="00FD679F"/>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D53C27"/>
    <w:rPr>
      <w:color w:val="0563C1" w:themeColor="hyperlink"/>
      <w:u w:val="single"/>
    </w:rPr>
  </w:style>
  <w:style w:type="paragraph" w:styleId="ListParagraph">
    <w:name w:val="List Paragraph"/>
    <w:basedOn w:val="Normal"/>
    <w:uiPriority w:val="34"/>
    <w:qFormat/>
    <w:rsid w:val="00C61D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466658781">
      <w:bodyDiv w:val="1"/>
      <w:marLeft w:val="0"/>
      <w:marRight w:val="0"/>
      <w:marTop w:val="0"/>
      <w:marBottom w:val="0"/>
      <w:divBdr>
        <w:top w:val="none" w:sz="0" w:space="0" w:color="auto"/>
        <w:left w:val="none" w:sz="0" w:space="0" w:color="auto"/>
        <w:bottom w:val="none" w:sz="0" w:space="0" w:color="auto"/>
        <w:right w:val="none" w:sz="0" w:space="0" w:color="auto"/>
      </w:divBdr>
    </w:div>
    <w:div w:id="1476142728">
      <w:bodyDiv w:val="1"/>
      <w:marLeft w:val="0"/>
      <w:marRight w:val="0"/>
      <w:marTop w:val="0"/>
      <w:marBottom w:val="0"/>
      <w:divBdr>
        <w:top w:val="none" w:sz="0" w:space="0" w:color="auto"/>
        <w:left w:val="none" w:sz="0" w:space="0" w:color="auto"/>
        <w:bottom w:val="none" w:sz="0" w:space="0" w:color="auto"/>
        <w:right w:val="none" w:sz="0" w:space="0" w:color="auto"/>
      </w:divBdr>
    </w:div>
    <w:div w:id="185272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s.lumenlearning.com/boundless-finance/chapter/cash-flow-analysis-and-other-fact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82F5E-1151-42EC-B839-8C90C73A4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5</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17</cp:revision>
  <dcterms:created xsi:type="dcterms:W3CDTF">2020-03-25T06:41:00Z</dcterms:created>
  <dcterms:modified xsi:type="dcterms:W3CDTF">2020-03-25T17:14:00Z</dcterms:modified>
</cp:coreProperties>
</file>