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20" w:rsidRDefault="00E02020" w:rsidP="00E02020">
      <w:pPr>
        <w:spacing w:after="0"/>
        <w:jc w:val="center"/>
      </w:pPr>
    </w:p>
    <w:p w:rsidR="00E02020" w:rsidRDefault="00E02020" w:rsidP="00E02020">
      <w:pPr>
        <w:spacing w:after="0"/>
        <w:jc w:val="center"/>
      </w:pPr>
    </w:p>
    <w:p w:rsidR="00E02020" w:rsidRDefault="00E02020" w:rsidP="00E02020">
      <w:pPr>
        <w:spacing w:after="0"/>
        <w:jc w:val="center"/>
      </w:pPr>
      <w:r>
        <w:t>Name</w:t>
      </w:r>
    </w:p>
    <w:p w:rsidR="00E02020" w:rsidRDefault="00E02020" w:rsidP="00E02020">
      <w:pPr>
        <w:spacing w:after="0"/>
        <w:jc w:val="center"/>
      </w:pPr>
      <w:r>
        <w:t xml:space="preserve">Institution </w:t>
      </w:r>
    </w:p>
    <w:p w:rsidR="00E02020" w:rsidRDefault="00E02020" w:rsidP="00E02020">
      <w:pPr>
        <w:spacing w:after="0"/>
        <w:jc w:val="center"/>
      </w:pPr>
      <w:r>
        <w:t xml:space="preserve">Course </w:t>
      </w:r>
    </w:p>
    <w:p w:rsidR="00E02020" w:rsidRDefault="00E02020" w:rsidP="00E02020">
      <w:pPr>
        <w:spacing w:after="0"/>
        <w:jc w:val="center"/>
      </w:pPr>
      <w:r>
        <w:t xml:space="preserve">Professor </w:t>
      </w:r>
    </w:p>
    <w:p w:rsidR="00E02020" w:rsidRPr="00E02020" w:rsidRDefault="00E02020" w:rsidP="00E02020">
      <w:pPr>
        <w:spacing w:after="0"/>
        <w:jc w:val="center"/>
      </w:pPr>
      <w:r>
        <w:t xml:space="preserve">Date </w:t>
      </w: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E02020" w:rsidRDefault="00E02020" w:rsidP="00022D6B">
      <w:pPr>
        <w:spacing w:after="0"/>
        <w:rPr>
          <w:b/>
        </w:rPr>
      </w:pPr>
    </w:p>
    <w:p w:rsidR="001C20E5" w:rsidRPr="008F46ED" w:rsidRDefault="005A492C" w:rsidP="00D25082">
      <w:pPr>
        <w:spacing w:after="0"/>
        <w:jc w:val="center"/>
        <w:rPr>
          <w:b/>
        </w:rPr>
      </w:pPr>
      <w:r w:rsidRPr="008F46ED">
        <w:rPr>
          <w:b/>
        </w:rPr>
        <w:lastRenderedPageBreak/>
        <w:t>How do the Social Determinants of Health impact an individual</w:t>
      </w:r>
      <w:r w:rsidR="00A00F3B">
        <w:rPr>
          <w:b/>
        </w:rPr>
        <w:t>'</w:t>
      </w:r>
      <w:r w:rsidRPr="008F46ED">
        <w:rPr>
          <w:b/>
        </w:rPr>
        <w:t>s learning needs?</w:t>
      </w:r>
    </w:p>
    <w:p w:rsidR="005A492C" w:rsidRDefault="005A492C" w:rsidP="00D25082">
      <w:pPr>
        <w:spacing w:after="0"/>
        <w:ind w:firstLine="720"/>
      </w:pPr>
      <w:r>
        <w:t xml:space="preserve">The social determinant of health </w:t>
      </w:r>
      <w:r w:rsidR="00F54B98">
        <w:t>is</w:t>
      </w:r>
      <w:r>
        <w:t xml:space="preserve"> social-economic aspects that influence the health of individuals. The social determinants of health are </w:t>
      </w:r>
      <w:r w:rsidR="00F54B98">
        <w:t>primari</w:t>
      </w:r>
      <w:r>
        <w:t xml:space="preserve">ly affected by the environment and culture </w:t>
      </w:r>
      <w:r w:rsidR="00F54B98">
        <w:t xml:space="preserve">of </w:t>
      </w:r>
      <w:r>
        <w:t>a per</w:t>
      </w:r>
      <w:r w:rsidR="00F54B98">
        <w:t>son</w:t>
      </w:r>
      <w:r>
        <w:t>. These factors include education, economic status, the context of society</w:t>
      </w:r>
      <w:r w:rsidR="00F54B98">
        <w:t>,</w:t>
      </w:r>
      <w:r>
        <w:t xml:space="preserve"> and access to health care. </w:t>
      </w:r>
      <w:r w:rsidR="00EA53B9">
        <w:t xml:space="preserve">Social </w:t>
      </w:r>
      <w:r w:rsidR="004C09F0">
        <w:t>determinant</w:t>
      </w:r>
      <w:r w:rsidR="00F54B98">
        <w:t xml:space="preserve">s </w:t>
      </w:r>
      <w:r w:rsidR="00EA53B9">
        <w:t xml:space="preserve">impact an individual learning needs in various ways. </w:t>
      </w:r>
      <w:r w:rsidR="00A00E98">
        <w:t xml:space="preserve">A social context </w:t>
      </w:r>
      <w:r w:rsidR="009638A0">
        <w:t xml:space="preserve">that is prone to violence and discrimination impacts negatively the learning needs of individuals. </w:t>
      </w:r>
      <w:r w:rsidR="0087700E">
        <w:t>Discrimination</w:t>
      </w:r>
      <w:r w:rsidR="00F54B98">
        <w:t>,</w:t>
      </w:r>
      <w:r w:rsidR="0087700E">
        <w:t xml:space="preserve"> for instanc</w:t>
      </w:r>
      <w:r w:rsidR="00A93123">
        <w:t>e</w:t>
      </w:r>
      <w:r w:rsidR="00F54B98">
        <w:t>,</w:t>
      </w:r>
      <w:r w:rsidR="00A93123">
        <w:t xml:space="preserve"> cause</w:t>
      </w:r>
      <w:r w:rsidR="00F54B98">
        <w:t>s</w:t>
      </w:r>
      <w:r w:rsidR="0087700E">
        <w:t xml:space="preserve"> unequal opportunities in the education process</w:t>
      </w:r>
      <w:r w:rsidR="00A93123">
        <w:t xml:space="preserve"> resulting </w:t>
      </w:r>
      <w:r w:rsidR="00F54B98">
        <w:t>in</w:t>
      </w:r>
      <w:r w:rsidR="00A93123">
        <w:t xml:space="preserve"> poor performance and even school dropout</w:t>
      </w:r>
      <w:r w:rsidR="003D40B7">
        <w:t xml:space="preserve"> </w:t>
      </w:r>
      <w:r w:rsidR="003D40B7">
        <w:t>(</w:t>
      </w:r>
      <w:proofErr w:type="spellStart"/>
      <w:r w:rsidR="003D40B7">
        <w:rPr>
          <w:rFonts w:cs="Times New Roman"/>
          <w:color w:val="000000"/>
          <w:shd w:val="clear" w:color="auto" w:fill="FFFFFF"/>
        </w:rPr>
        <w:t>Bernazzani</w:t>
      </w:r>
      <w:proofErr w:type="spellEnd"/>
      <w:r w:rsidR="003D40B7">
        <w:rPr>
          <w:rFonts w:cs="Times New Roman"/>
          <w:color w:val="000000"/>
          <w:shd w:val="clear" w:color="auto" w:fill="FFFFFF"/>
        </w:rPr>
        <w:t>, 2021)</w:t>
      </w:r>
      <w:r w:rsidR="00A93123">
        <w:t xml:space="preserve">. </w:t>
      </w:r>
      <w:r w:rsidR="00333E77">
        <w:t xml:space="preserve">Social determinants of health such as poverty are </w:t>
      </w:r>
      <w:r w:rsidR="00F54B98">
        <w:t>driven</w:t>
      </w:r>
      <w:r w:rsidR="00333E77">
        <w:t xml:space="preserve"> by economic instability</w:t>
      </w:r>
      <w:r w:rsidR="00A60A77">
        <w:t>,</w:t>
      </w:r>
      <w:r w:rsidR="00333E77">
        <w:t xml:space="preserve"> </w:t>
      </w:r>
      <w:r w:rsidR="00A60A77">
        <w:t>render</w:t>
      </w:r>
      <w:r w:rsidR="00462288">
        <w:t>ing</w:t>
      </w:r>
      <w:r w:rsidR="00333E77">
        <w:t xml:space="preserve"> the inability to secure safe housing, proper nutrition</w:t>
      </w:r>
      <w:r w:rsidR="00F54B98">
        <w:t>,</w:t>
      </w:r>
      <w:r w:rsidR="00333E77">
        <w:t xml:space="preserve"> and education funding. An individual exposed to such social health determinants will be unable to meet the learning needs. </w:t>
      </w:r>
      <w:r w:rsidR="00EE1E6B">
        <w:t>For example, children in poor economic background</w:t>
      </w:r>
      <w:r w:rsidR="00F54B98">
        <w:t>s tend to achieve their educational goals compared to</w:t>
      </w:r>
      <w:r w:rsidR="00EE1E6B">
        <w:t xml:space="preserve"> wealthy families. </w:t>
      </w:r>
    </w:p>
    <w:p w:rsidR="001E103A" w:rsidRPr="005A492C" w:rsidRDefault="001E103A" w:rsidP="00022D6B">
      <w:pPr>
        <w:spacing w:after="0"/>
        <w:ind w:firstLine="720"/>
      </w:pPr>
      <w:r>
        <w:t>Negative social determinants of health such as low</w:t>
      </w:r>
      <w:r w:rsidR="00F54B98">
        <w:t>-</w:t>
      </w:r>
      <w:r>
        <w:t xml:space="preserve">income level affect </w:t>
      </w:r>
      <w:r w:rsidR="00A40765">
        <w:t>learning needs</w:t>
      </w:r>
      <w:r>
        <w:t xml:space="preserve"> as well. </w:t>
      </w:r>
      <w:r w:rsidR="00F54B98">
        <w:t>For example, a</w:t>
      </w:r>
      <w:r w:rsidR="00A40765">
        <w:t xml:space="preserve"> close relationship </w:t>
      </w:r>
      <w:r w:rsidR="00985F3D">
        <w:t xml:space="preserve">indicates that parents with low income tend to engage in </w:t>
      </w:r>
      <w:r w:rsidR="00F54B98">
        <w:t>smoking and domestic violence behaviors</w:t>
      </w:r>
      <w:r w:rsidR="00985F3D">
        <w:t xml:space="preserve"> </w:t>
      </w:r>
      <w:r w:rsidR="00F54B98">
        <w:t>than</w:t>
      </w:r>
      <w:r w:rsidR="00985F3D">
        <w:t xml:space="preserve"> </w:t>
      </w:r>
      <w:r w:rsidR="00F54B98">
        <w:t xml:space="preserve">parents with an </w:t>
      </w:r>
      <w:r w:rsidR="00F138AD">
        <w:t xml:space="preserve">average income. </w:t>
      </w:r>
      <w:r w:rsidR="00D447B8">
        <w:t xml:space="preserve">The learning needs of students from families with low income </w:t>
      </w:r>
      <w:r w:rsidR="00F54B98">
        <w:t>are</w:t>
      </w:r>
      <w:r w:rsidR="00D447B8">
        <w:t xml:space="preserve"> thus affected negatively as they might involve in </w:t>
      </w:r>
      <w:r w:rsidR="00C3544F">
        <w:t>undesirable</w:t>
      </w:r>
      <w:r w:rsidR="00D447B8">
        <w:t xml:space="preserve"> habits at an early age</w:t>
      </w:r>
      <w:r w:rsidR="00F40BA7">
        <w:t xml:space="preserve"> </w:t>
      </w:r>
      <w:r w:rsidR="00F422D3">
        <w:t>(</w:t>
      </w:r>
      <w:r w:rsidR="00F422D3">
        <w:rPr>
          <w:rFonts w:cs="Times New Roman"/>
          <w:iCs/>
          <w:color w:val="000000"/>
          <w:shd w:val="clear" w:color="auto" w:fill="FFFFFF"/>
        </w:rPr>
        <w:t>ODPHP</w:t>
      </w:r>
      <w:r w:rsidR="00F422D3">
        <w:rPr>
          <w:rFonts w:cs="Times New Roman"/>
          <w:color w:val="000000"/>
          <w:shd w:val="clear" w:color="auto" w:fill="FFFFFF"/>
        </w:rPr>
        <w:t xml:space="preserve">, </w:t>
      </w:r>
      <w:r w:rsidR="00F40BA7" w:rsidRPr="009C378D">
        <w:rPr>
          <w:rFonts w:cs="Times New Roman"/>
          <w:color w:val="000000"/>
          <w:shd w:val="clear" w:color="auto" w:fill="FFFFFF"/>
        </w:rPr>
        <w:t>2021).</w:t>
      </w:r>
    </w:p>
    <w:p w:rsidR="0098071E" w:rsidRDefault="00155BC0" w:rsidP="00022D6B">
      <w:pPr>
        <w:spacing w:after="0"/>
        <w:rPr>
          <w:b/>
        </w:rPr>
      </w:pPr>
      <w:r w:rsidRPr="00155BC0">
        <w:rPr>
          <w:b/>
        </w:rPr>
        <w:t>What are some ways to overcome social determinant barriers to promote the health and wellness of patients or clients?</w:t>
      </w:r>
    </w:p>
    <w:p w:rsidR="00A92B24" w:rsidRDefault="00A92B24" w:rsidP="00022D6B">
      <w:pPr>
        <w:spacing w:after="0"/>
      </w:pPr>
      <w:r>
        <w:rPr>
          <w:b/>
        </w:rPr>
        <w:tab/>
      </w:r>
      <w:r w:rsidR="00F54B98">
        <w:t>Health facilities can mitigate the barriers of social determinants of health</w:t>
      </w:r>
      <w:r w:rsidR="00506585">
        <w:t xml:space="preserve"> to promote the health and </w:t>
      </w:r>
      <w:r w:rsidR="00C93950">
        <w:t>wellness</w:t>
      </w:r>
      <w:r w:rsidR="00506585">
        <w:t xml:space="preserve"> of patients in </w:t>
      </w:r>
      <w:r w:rsidR="00F54B98">
        <w:t>several</w:t>
      </w:r>
      <w:r w:rsidR="00506585">
        <w:t xml:space="preserve"> ways. </w:t>
      </w:r>
      <w:r w:rsidR="009A27BD">
        <w:t xml:space="preserve">For example, developing health promotion programs to help the poor </w:t>
      </w:r>
      <w:r w:rsidR="00F73664">
        <w:t>and marginalized</w:t>
      </w:r>
      <w:r w:rsidR="009A27BD">
        <w:t xml:space="preserve"> communities.</w:t>
      </w:r>
      <w:r w:rsidR="00F73664">
        <w:t xml:space="preserve"> The health promotion programs will </w:t>
      </w:r>
      <w:r w:rsidR="00F73664">
        <w:lastRenderedPageBreak/>
        <w:t xml:space="preserve">help progress the living conditions for individuals who cannot </w:t>
      </w:r>
      <w:r w:rsidR="004A551B">
        <w:t xml:space="preserve">afford </w:t>
      </w:r>
      <w:r w:rsidR="00413287">
        <w:t xml:space="preserve">health </w:t>
      </w:r>
      <w:r w:rsidR="00251649">
        <w:t>services</w:t>
      </w:r>
      <w:r w:rsidR="002216B5">
        <w:t xml:space="preserve"> </w:t>
      </w:r>
      <w:r w:rsidR="002216B5">
        <w:t>(</w:t>
      </w:r>
      <w:r w:rsidR="002216B5">
        <w:rPr>
          <w:rFonts w:cs="Times New Roman"/>
          <w:iCs/>
          <w:color w:val="000000"/>
          <w:shd w:val="clear" w:color="auto" w:fill="FFFFFF"/>
        </w:rPr>
        <w:t>ODPHP</w:t>
      </w:r>
      <w:r w:rsidR="002216B5">
        <w:rPr>
          <w:rFonts w:cs="Times New Roman"/>
          <w:color w:val="000000"/>
          <w:shd w:val="clear" w:color="auto" w:fill="FFFFFF"/>
        </w:rPr>
        <w:t xml:space="preserve">, </w:t>
      </w:r>
      <w:r w:rsidR="002216B5" w:rsidRPr="009C378D">
        <w:rPr>
          <w:rFonts w:cs="Times New Roman"/>
          <w:color w:val="000000"/>
          <w:shd w:val="clear" w:color="auto" w:fill="FFFFFF"/>
        </w:rPr>
        <w:t>2021)</w:t>
      </w:r>
      <w:r w:rsidR="00251649">
        <w:t xml:space="preserve">. </w:t>
      </w:r>
      <w:r w:rsidR="00F54B98">
        <w:t>In addition, h</w:t>
      </w:r>
      <w:r w:rsidR="00390BDB">
        <w:t xml:space="preserve">ealth facilities can promote health </w:t>
      </w:r>
      <w:r w:rsidR="00F54B98">
        <w:t>by</w:t>
      </w:r>
      <w:r w:rsidR="00390BDB">
        <w:t xml:space="preserve"> encouraging healthy nutrition. </w:t>
      </w:r>
      <w:r w:rsidR="00A513AF">
        <w:t xml:space="preserve">Also, society can be educated on </w:t>
      </w:r>
      <w:r w:rsidR="00F54B98">
        <w:t>preventing</w:t>
      </w:r>
      <w:r w:rsidR="00A513AF">
        <w:t xml:space="preserve"> diseases such as sexually </w:t>
      </w:r>
      <w:r w:rsidR="00991817">
        <w:t>transmitted</w:t>
      </w:r>
      <w:r w:rsidR="00A513AF">
        <w:t xml:space="preserve"> diseases through awareness programs.</w:t>
      </w:r>
      <w:r w:rsidR="00991817">
        <w:t xml:space="preserve"> </w:t>
      </w:r>
      <w:r w:rsidR="00F54B98">
        <w:t>Again, s</w:t>
      </w:r>
      <w:r w:rsidR="00991817">
        <w:t xml:space="preserve">uch </w:t>
      </w:r>
      <w:r w:rsidR="00DF3A50">
        <w:t xml:space="preserve">a measure </w:t>
      </w:r>
      <w:r w:rsidR="00991817">
        <w:t xml:space="preserve">will help the marginalized and </w:t>
      </w:r>
      <w:r w:rsidR="00F54B98">
        <w:t>needy</w:t>
      </w:r>
      <w:r w:rsidR="00991817">
        <w:t xml:space="preserve"> individuals in </w:t>
      </w:r>
      <w:r w:rsidR="00F54B98">
        <w:t>the communi</w:t>
      </w:r>
      <w:r w:rsidR="00991817">
        <w:t xml:space="preserve">ty. </w:t>
      </w:r>
      <w:r w:rsidR="00A513AF">
        <w:t xml:space="preserve"> </w:t>
      </w:r>
      <w:r w:rsidR="00390BDB">
        <w:t xml:space="preserve"> </w:t>
      </w:r>
      <w:r w:rsidR="00506585">
        <w:t xml:space="preserve"> </w:t>
      </w:r>
    </w:p>
    <w:p w:rsidR="00FF7B04" w:rsidRDefault="00FF7B04" w:rsidP="00022D6B">
      <w:pPr>
        <w:spacing w:after="0"/>
      </w:pPr>
      <w:r>
        <w:tab/>
      </w:r>
      <w:r w:rsidR="00AB340F">
        <w:t xml:space="preserve">Another </w:t>
      </w:r>
      <w:r w:rsidR="00F54B98">
        <w:t>essential</w:t>
      </w:r>
      <w:r w:rsidR="00AB340F">
        <w:t xml:space="preserve"> tactic of overcoming the barriers of social determinant</w:t>
      </w:r>
      <w:r w:rsidR="00F54B98">
        <w:t>s</w:t>
      </w:r>
      <w:r w:rsidR="00AB340F">
        <w:t xml:space="preserve"> is through </w:t>
      </w:r>
      <w:r w:rsidR="00F54B98">
        <w:t>research</w:t>
      </w:r>
      <w:r w:rsidR="00E27E9A">
        <w:t xml:space="preserve">ing the </w:t>
      </w:r>
      <w:r w:rsidR="00AB340F">
        <w:t xml:space="preserve">social determinants of health. </w:t>
      </w:r>
      <w:r w:rsidR="00F54B98">
        <w:t>Correct</w:t>
      </w:r>
      <w:r w:rsidR="00E27E9A">
        <w:t>ly understanding these aspects will significant</w:t>
      </w:r>
      <w:r w:rsidR="00F54B98">
        <w:t>ly</w:t>
      </w:r>
      <w:r w:rsidR="00E27E9A">
        <w:t xml:space="preserve"> aid in improving the wellness of patients. </w:t>
      </w:r>
      <w:r w:rsidR="00C535AE">
        <w:t>For example, understanding that discrimination exist</w:t>
      </w:r>
      <w:r w:rsidR="00F54B98">
        <w:t>s, measures can be put into place to ensure equality in society and services offered in the</w:t>
      </w:r>
      <w:r w:rsidR="00C535AE">
        <w:t xml:space="preserve"> health sector. </w:t>
      </w:r>
      <w:r w:rsidR="00F54B98">
        <w:t xml:space="preserve">The data obtained can also be </w:t>
      </w:r>
      <w:r w:rsidR="002D6201">
        <w:t>help</w:t>
      </w:r>
      <w:r w:rsidR="00F54B98">
        <w:t xml:space="preserve">ful to the government during the allocation of resources. Equality in the </w:t>
      </w:r>
      <w:r w:rsidR="002D6201">
        <w:t>distribu</w:t>
      </w:r>
      <w:r w:rsidR="00F54B98">
        <w:t>tion of resources can therefore be attained using the data</w:t>
      </w:r>
      <w:r w:rsidR="004A4DD4">
        <w:t xml:space="preserve"> (</w:t>
      </w:r>
      <w:proofErr w:type="spellStart"/>
      <w:r w:rsidR="004A4DD4">
        <w:rPr>
          <w:rFonts w:cs="Times New Roman"/>
          <w:color w:val="000000"/>
          <w:shd w:val="clear" w:color="auto" w:fill="FFFFFF"/>
        </w:rPr>
        <w:t>Bernazzani</w:t>
      </w:r>
      <w:proofErr w:type="spellEnd"/>
      <w:r w:rsidR="004A4DD4">
        <w:rPr>
          <w:rFonts w:cs="Times New Roman"/>
          <w:color w:val="000000"/>
          <w:shd w:val="clear" w:color="auto" w:fill="FFFFFF"/>
        </w:rPr>
        <w:t>, 2021)</w:t>
      </w:r>
      <w:r w:rsidR="00F54B98">
        <w:t>.</w:t>
      </w:r>
    </w:p>
    <w:p w:rsidR="006F1F30" w:rsidRDefault="00F52C5B" w:rsidP="00F52C5B">
      <w:pPr>
        <w:spacing w:after="0"/>
      </w:pPr>
      <w:r w:rsidRPr="00F52C5B">
        <w:rPr>
          <w:b/>
        </w:rPr>
        <w:t xml:space="preserve">As a professional nurse, fully describe </w:t>
      </w:r>
      <w:r>
        <w:rPr>
          <w:b/>
        </w:rPr>
        <w:t>two</w:t>
      </w:r>
      <w:r w:rsidRPr="00F52C5B">
        <w:rPr>
          <w:b/>
        </w:rPr>
        <w:t xml:space="preserve"> ways that you can be a</w:t>
      </w:r>
      <w:r>
        <w:rPr>
          <w:b/>
        </w:rPr>
        <w:t xml:space="preserve">n advocate for policy change to </w:t>
      </w:r>
      <w:r w:rsidRPr="00F52C5B">
        <w:rPr>
          <w:b/>
        </w:rPr>
        <w:t xml:space="preserve">improve the health and wellness of those </w:t>
      </w:r>
      <w:r w:rsidR="00A00F3B">
        <w:rPr>
          <w:b/>
        </w:rPr>
        <w:t>a</w:t>
      </w:r>
      <w:r w:rsidRPr="00F52C5B">
        <w:rPr>
          <w:b/>
        </w:rPr>
        <w:t>ffected by social determinant barriers.</w:t>
      </w:r>
      <w:r w:rsidR="006F1F30">
        <w:tab/>
      </w:r>
      <w:r w:rsidR="00AD237D">
        <w:t>The p</w:t>
      </w:r>
      <w:r w:rsidR="006F1F30">
        <w:t xml:space="preserve">olicy </w:t>
      </w:r>
      <w:r w:rsidR="001D1DA2">
        <w:t>recommendation is a method that could be used in improving the health and wellness of those affected by social determinant barriers.</w:t>
      </w:r>
      <w:r w:rsidR="00A00F3B">
        <w:t xml:space="preserve"> First,</w:t>
      </w:r>
      <w:r w:rsidR="001D1DA2">
        <w:t xml:space="preserve"> </w:t>
      </w:r>
      <w:r>
        <w:t xml:space="preserve">I would advocate for </w:t>
      </w:r>
      <w:r w:rsidR="00A00F3B">
        <w:t xml:space="preserve">a </w:t>
      </w:r>
      <w:r>
        <w:t xml:space="preserve">universal healthcare program. Universal healthcare coverage guarantees all the citizen in accessing quality health services. </w:t>
      </w:r>
      <w:r w:rsidR="00101E56">
        <w:t xml:space="preserve">Adopting the policy will help people from different social </w:t>
      </w:r>
      <w:r w:rsidR="003F6745">
        <w:t>classes</w:t>
      </w:r>
      <w:r w:rsidR="00A60A77">
        <w:t>'</w:t>
      </w:r>
      <w:r w:rsidR="00101E56">
        <w:t xml:space="preserve"> </w:t>
      </w:r>
      <w:r w:rsidR="00D71265">
        <w:t xml:space="preserve">access health services despite their low economic status. </w:t>
      </w:r>
      <w:r w:rsidR="00A00F3B">
        <w:t>Through the approach,</w:t>
      </w:r>
      <w:r w:rsidR="00B2219E">
        <w:t xml:space="preserve"> health does not become a hardship to people struggling to satisfy other basic needs. </w:t>
      </w:r>
    </w:p>
    <w:p w:rsidR="00CD6406" w:rsidRDefault="00CD6406" w:rsidP="00F52C5B">
      <w:pPr>
        <w:spacing w:after="0"/>
      </w:pPr>
      <w:r>
        <w:tab/>
      </w:r>
      <w:r w:rsidR="00397AD9">
        <w:t>Also, I would advocate for fair salaries to enable individuals to improve their health</w:t>
      </w:r>
      <w:r w:rsidR="00A00F3B">
        <w:t>—f</w:t>
      </w:r>
      <w:r w:rsidR="006B7F89">
        <w:t>or insta</w:t>
      </w:r>
      <w:r w:rsidR="006A538C">
        <w:t xml:space="preserve">nce, </w:t>
      </w:r>
      <w:r w:rsidR="00A00F3B">
        <w:t>policymakers need</w:t>
      </w:r>
      <w:r w:rsidR="006B7F89">
        <w:t xml:space="preserve"> to encourage the minimum wage campaign. </w:t>
      </w:r>
      <w:r w:rsidR="00EF2239">
        <w:t xml:space="preserve">Increasing the minimum wage of employees </w:t>
      </w:r>
      <w:r w:rsidR="00C71611">
        <w:t xml:space="preserve">will make </w:t>
      </w:r>
      <w:r w:rsidR="00A00F3B">
        <w:t xml:space="preserve">most people afford basic needs such as health, proper </w:t>
      </w:r>
      <w:r w:rsidR="00A00F3B">
        <w:lastRenderedPageBreak/>
        <w:t>housing</w:t>
      </w:r>
      <w:r w:rsidR="00C71611">
        <w:t xml:space="preserve"> and will not depend on support from the government. </w:t>
      </w:r>
      <w:r w:rsidR="00E53CBE">
        <w:t xml:space="preserve">Also, </w:t>
      </w:r>
      <w:r w:rsidR="00E317CE">
        <w:t xml:space="preserve">the wellness of the society will improve as individuals will be able to afford to fund education and thus further </w:t>
      </w:r>
      <w:r w:rsidR="00A00F3B">
        <w:t>enhanc</w:t>
      </w:r>
      <w:r w:rsidR="00E317CE">
        <w:t>e their lives.</w:t>
      </w:r>
    </w:p>
    <w:p w:rsidR="00312D98" w:rsidRPr="00F52C5B" w:rsidRDefault="00312D98" w:rsidP="00F52C5B">
      <w:pPr>
        <w:spacing w:after="0"/>
        <w:rPr>
          <w:b/>
        </w:rPr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312D98">
      <w:pPr>
        <w:spacing w:after="0"/>
        <w:jc w:val="center"/>
      </w:pPr>
    </w:p>
    <w:p w:rsidR="00F40BA7" w:rsidRDefault="00F40BA7" w:rsidP="00F62805">
      <w:pPr>
        <w:spacing w:after="0"/>
      </w:pPr>
    </w:p>
    <w:p w:rsidR="008938E0" w:rsidRDefault="008938E0" w:rsidP="00312D98">
      <w:pPr>
        <w:spacing w:after="0"/>
        <w:jc w:val="center"/>
      </w:pPr>
    </w:p>
    <w:p w:rsidR="00FF2323" w:rsidRPr="00312D98" w:rsidRDefault="00312D98" w:rsidP="00312D98">
      <w:pPr>
        <w:spacing w:after="0"/>
        <w:jc w:val="center"/>
      </w:pPr>
      <w:bookmarkStart w:id="0" w:name="_GoBack"/>
      <w:bookmarkEnd w:id="0"/>
      <w:r w:rsidRPr="00312D98">
        <w:lastRenderedPageBreak/>
        <w:t>References</w:t>
      </w:r>
    </w:p>
    <w:p w:rsidR="00312D98" w:rsidRPr="009C378D" w:rsidRDefault="009C378D" w:rsidP="009C378D">
      <w:pPr>
        <w:spacing w:after="0"/>
        <w:ind w:left="720" w:hanging="720"/>
        <w:rPr>
          <w:rFonts w:cs="Times New Roman"/>
          <w:color w:val="000000"/>
          <w:shd w:val="clear" w:color="auto" w:fill="FFFFFF"/>
        </w:rPr>
      </w:pPr>
      <w:proofErr w:type="spellStart"/>
      <w:r w:rsidRPr="009C378D">
        <w:rPr>
          <w:rFonts w:cs="Times New Roman"/>
          <w:color w:val="000000"/>
          <w:shd w:val="clear" w:color="auto" w:fill="FFFFFF"/>
        </w:rPr>
        <w:t>Bernazzani</w:t>
      </w:r>
      <w:proofErr w:type="spellEnd"/>
      <w:r w:rsidRPr="009C378D">
        <w:rPr>
          <w:rFonts w:cs="Times New Roman"/>
          <w:color w:val="000000"/>
          <w:shd w:val="clear" w:color="auto" w:fill="FFFFFF"/>
        </w:rPr>
        <w:t>, S. (2021). </w:t>
      </w:r>
      <w:r w:rsidRPr="009C378D">
        <w:rPr>
          <w:rFonts w:cs="Times New Roman"/>
          <w:i/>
          <w:iCs/>
          <w:color w:val="000000"/>
          <w:shd w:val="clear" w:color="auto" w:fill="FFFFFF"/>
        </w:rPr>
        <w:t>The Importance of Considering the Social Determinants of Health</w:t>
      </w:r>
      <w:r w:rsidRPr="009C378D">
        <w:rPr>
          <w:rFonts w:cs="Times New Roman"/>
          <w:color w:val="000000"/>
          <w:shd w:val="clear" w:color="auto" w:fill="FFFFFF"/>
        </w:rPr>
        <w:t xml:space="preserve">. AJMC. Retrieved 26 May 2021, from </w:t>
      </w:r>
      <w:hyperlink r:id="rId7" w:history="1">
        <w:r w:rsidRPr="009C378D">
          <w:rPr>
            <w:rStyle w:val="Hyperlink"/>
            <w:rFonts w:cs="Times New Roman"/>
            <w:shd w:val="clear" w:color="auto" w:fill="FFFFFF"/>
          </w:rPr>
          <w:t>https://www.ajmc.com/view/the-importance-of-considering-the-social-determinants-of-health</w:t>
        </w:r>
      </w:hyperlink>
      <w:r w:rsidRPr="009C378D">
        <w:rPr>
          <w:rFonts w:cs="Times New Roman"/>
          <w:color w:val="000000"/>
          <w:shd w:val="clear" w:color="auto" w:fill="FFFFFF"/>
        </w:rPr>
        <w:t>.</w:t>
      </w:r>
    </w:p>
    <w:p w:rsidR="009C378D" w:rsidRDefault="004A7609" w:rsidP="009C378D">
      <w:pPr>
        <w:spacing w:after="0"/>
        <w:ind w:left="720" w:hanging="72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cs="Times New Roman"/>
          <w:iCs/>
          <w:color w:val="000000"/>
          <w:shd w:val="clear" w:color="auto" w:fill="FFFFFF"/>
        </w:rPr>
        <w:t xml:space="preserve">ODPHP. (2021). </w:t>
      </w:r>
      <w:r w:rsidR="009C378D" w:rsidRPr="004A7609">
        <w:rPr>
          <w:rFonts w:cs="Times New Roman"/>
          <w:iCs/>
          <w:color w:val="000000"/>
          <w:shd w:val="clear" w:color="auto" w:fill="FFFFFF"/>
        </w:rPr>
        <w:t>Social Determinants of Health - Healthy People 2030 | health.gov</w:t>
      </w:r>
      <w:r w:rsidRPr="004A7609">
        <w:rPr>
          <w:rFonts w:cs="Times New Roman"/>
          <w:color w:val="000000"/>
          <w:shd w:val="clear" w:color="auto" w:fill="FFFFFF"/>
        </w:rPr>
        <w:t>.</w:t>
      </w:r>
      <w:r>
        <w:rPr>
          <w:rFonts w:cs="Times New Roman"/>
          <w:color w:val="000000"/>
          <w:shd w:val="clear" w:color="auto" w:fill="FFFFFF"/>
        </w:rPr>
        <w:t xml:space="preserve"> Health.gov</w:t>
      </w:r>
      <w:r w:rsidR="009C378D" w:rsidRPr="009C378D">
        <w:rPr>
          <w:rFonts w:cs="Times New Roman"/>
          <w:color w:val="000000"/>
          <w:shd w:val="clear" w:color="auto" w:fill="FFFFFF"/>
        </w:rPr>
        <w:t xml:space="preserve">. Retrieved 26 May 2021, from </w:t>
      </w:r>
      <w:hyperlink r:id="rId8" w:history="1">
        <w:r w:rsidR="009C378D" w:rsidRPr="009C378D">
          <w:rPr>
            <w:rStyle w:val="Hyperlink"/>
            <w:rFonts w:cs="Times New Roman"/>
            <w:shd w:val="clear" w:color="auto" w:fill="FFFFFF"/>
          </w:rPr>
          <w:t>https://health.gov/healthypeople/objectives-and-data/social-determinants-health</w:t>
        </w:r>
      </w:hyperlink>
      <w:r w:rsidR="009C378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9C378D" w:rsidRPr="00490B7F" w:rsidRDefault="009C378D" w:rsidP="00490B7F">
      <w:pPr>
        <w:spacing w:after="0"/>
        <w:rPr>
          <w:b/>
        </w:rPr>
      </w:pPr>
    </w:p>
    <w:sectPr w:rsidR="009C378D" w:rsidRPr="00490B7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C6" w:rsidRDefault="00694BC6" w:rsidP="005A492C">
      <w:pPr>
        <w:spacing w:after="0" w:line="240" w:lineRule="auto"/>
      </w:pPr>
      <w:r>
        <w:separator/>
      </w:r>
    </w:p>
  </w:endnote>
  <w:endnote w:type="continuationSeparator" w:id="0">
    <w:p w:rsidR="00694BC6" w:rsidRDefault="00694BC6" w:rsidP="005A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C6" w:rsidRDefault="00694BC6" w:rsidP="005A492C">
      <w:pPr>
        <w:spacing w:after="0" w:line="240" w:lineRule="auto"/>
      </w:pPr>
      <w:r>
        <w:separator/>
      </w:r>
    </w:p>
  </w:footnote>
  <w:footnote w:type="continuationSeparator" w:id="0">
    <w:p w:rsidR="00694BC6" w:rsidRDefault="00694BC6" w:rsidP="005A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96084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A492C" w:rsidRDefault="005A492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2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A492C" w:rsidRDefault="005A4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743"/>
    <w:multiLevelType w:val="hybridMultilevel"/>
    <w:tmpl w:val="F2F649BE"/>
    <w:lvl w:ilvl="0" w:tplc="589A6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2E6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985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16F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023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64B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0472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85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B88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3E1629"/>
    <w:multiLevelType w:val="hybridMultilevel"/>
    <w:tmpl w:val="BDA052AC"/>
    <w:lvl w:ilvl="0" w:tplc="250A6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C1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F2B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56F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8F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23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6A0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4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A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MjY3NzYwMjI2MDNU0lEKTi0uzszPAykwrAUA87GtQiwAAAA="/>
  </w:docVars>
  <w:rsids>
    <w:rsidRoot w:val="005A492C"/>
    <w:rsid w:val="00022D6B"/>
    <w:rsid w:val="00101E56"/>
    <w:rsid w:val="00155BC0"/>
    <w:rsid w:val="001C20E5"/>
    <w:rsid w:val="001D1DA2"/>
    <w:rsid w:val="001E103A"/>
    <w:rsid w:val="002216B5"/>
    <w:rsid w:val="00251649"/>
    <w:rsid w:val="00260BC0"/>
    <w:rsid w:val="002B233A"/>
    <w:rsid w:val="002D6201"/>
    <w:rsid w:val="00312D98"/>
    <w:rsid w:val="00333E77"/>
    <w:rsid w:val="00390BDB"/>
    <w:rsid w:val="00397AD9"/>
    <w:rsid w:val="003D40B7"/>
    <w:rsid w:val="003E6F9C"/>
    <w:rsid w:val="003F6745"/>
    <w:rsid w:val="00413287"/>
    <w:rsid w:val="00462288"/>
    <w:rsid w:val="00490B7F"/>
    <w:rsid w:val="004A4DD4"/>
    <w:rsid w:val="004A551B"/>
    <w:rsid w:val="004A7609"/>
    <w:rsid w:val="004C09F0"/>
    <w:rsid w:val="00506585"/>
    <w:rsid w:val="005A492C"/>
    <w:rsid w:val="00694BC6"/>
    <w:rsid w:val="006A538C"/>
    <w:rsid w:val="006B7F89"/>
    <w:rsid w:val="006F1F30"/>
    <w:rsid w:val="007B5238"/>
    <w:rsid w:val="0087700E"/>
    <w:rsid w:val="008938E0"/>
    <w:rsid w:val="008B7808"/>
    <w:rsid w:val="008E168F"/>
    <w:rsid w:val="008F46ED"/>
    <w:rsid w:val="009638A0"/>
    <w:rsid w:val="0098071E"/>
    <w:rsid w:val="00985F3D"/>
    <w:rsid w:val="00991817"/>
    <w:rsid w:val="009A27BD"/>
    <w:rsid w:val="009C378D"/>
    <w:rsid w:val="00A00E98"/>
    <w:rsid w:val="00A00F3B"/>
    <w:rsid w:val="00A40765"/>
    <w:rsid w:val="00A513AF"/>
    <w:rsid w:val="00A60A77"/>
    <w:rsid w:val="00A92B24"/>
    <w:rsid w:val="00A93123"/>
    <w:rsid w:val="00AB340F"/>
    <w:rsid w:val="00AD237D"/>
    <w:rsid w:val="00B2219E"/>
    <w:rsid w:val="00C3544F"/>
    <w:rsid w:val="00C535AE"/>
    <w:rsid w:val="00C71611"/>
    <w:rsid w:val="00C93950"/>
    <w:rsid w:val="00CD6406"/>
    <w:rsid w:val="00D25082"/>
    <w:rsid w:val="00D447B8"/>
    <w:rsid w:val="00D71265"/>
    <w:rsid w:val="00D8704A"/>
    <w:rsid w:val="00DF3A50"/>
    <w:rsid w:val="00E02020"/>
    <w:rsid w:val="00E27E9A"/>
    <w:rsid w:val="00E317CE"/>
    <w:rsid w:val="00E53CBE"/>
    <w:rsid w:val="00EA53B9"/>
    <w:rsid w:val="00EE1E6B"/>
    <w:rsid w:val="00EF2239"/>
    <w:rsid w:val="00F138AD"/>
    <w:rsid w:val="00F35D41"/>
    <w:rsid w:val="00F40BA7"/>
    <w:rsid w:val="00F422D3"/>
    <w:rsid w:val="00F52C5B"/>
    <w:rsid w:val="00F54B98"/>
    <w:rsid w:val="00F60B10"/>
    <w:rsid w:val="00F62805"/>
    <w:rsid w:val="00F73664"/>
    <w:rsid w:val="00FF2323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DDE2C"/>
  <w15:chartTrackingRefBased/>
  <w15:docId w15:val="{AE7735E8-DA14-4E83-B870-FA7D8358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2C"/>
  </w:style>
  <w:style w:type="paragraph" w:styleId="Footer">
    <w:name w:val="footer"/>
    <w:basedOn w:val="Normal"/>
    <w:link w:val="FooterChar"/>
    <w:uiPriority w:val="99"/>
    <w:unhideWhenUsed/>
    <w:rsid w:val="005A49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2C"/>
  </w:style>
  <w:style w:type="character" w:styleId="Hyperlink">
    <w:name w:val="Hyperlink"/>
    <w:basedOn w:val="DefaultParagraphFont"/>
    <w:uiPriority w:val="99"/>
    <w:unhideWhenUsed/>
    <w:rsid w:val="009C3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2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9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9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gov/healthypeople/objectives-and-data/social-determinants-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jmc.com/view/the-importance-of-considering-the-social-determinants-of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2021-05-26T19:59:00Z</dcterms:created>
  <dcterms:modified xsi:type="dcterms:W3CDTF">2021-05-26T19:59:00Z</dcterms:modified>
</cp:coreProperties>
</file>