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2C0" w:rsidRDefault="00074C9C" w:rsidP="00F04F2D">
      <w:pPr>
        <w:spacing w:after="200" w:line="480" w:lineRule="auto"/>
        <w:ind w:firstLine="720"/>
        <w:contextualSpacing/>
      </w:pPr>
      <w:r>
        <w:t xml:space="preserve"> </w:t>
      </w:r>
    </w:p>
    <w:p w:rsidR="005C52C0" w:rsidRDefault="005C52C0" w:rsidP="00F04F2D">
      <w:pPr>
        <w:spacing w:after="200" w:line="480" w:lineRule="auto"/>
        <w:ind w:firstLine="720"/>
        <w:contextualSpacing/>
      </w:pPr>
    </w:p>
    <w:p w:rsidR="005C52C0" w:rsidRDefault="005C52C0" w:rsidP="00F04F2D">
      <w:pPr>
        <w:spacing w:after="200" w:line="480" w:lineRule="auto"/>
        <w:ind w:firstLine="720"/>
        <w:contextualSpacing/>
      </w:pPr>
    </w:p>
    <w:p w:rsidR="005C52C0" w:rsidRDefault="005C52C0" w:rsidP="00F04F2D">
      <w:pPr>
        <w:spacing w:after="200" w:line="480" w:lineRule="auto"/>
        <w:ind w:firstLine="720"/>
        <w:contextualSpacing/>
      </w:pPr>
    </w:p>
    <w:p w:rsidR="005C52C0" w:rsidRDefault="005C52C0" w:rsidP="00F04F2D">
      <w:pPr>
        <w:spacing w:after="200" w:line="480" w:lineRule="auto"/>
        <w:ind w:firstLine="720"/>
        <w:contextualSpacing/>
      </w:pPr>
      <w:bookmarkStart w:id="0" w:name="_GoBack"/>
      <w:bookmarkEnd w:id="0"/>
    </w:p>
    <w:p w:rsidR="005C52C0" w:rsidRDefault="005C52C0" w:rsidP="00F04F2D">
      <w:pPr>
        <w:spacing w:after="200" w:line="480" w:lineRule="auto"/>
        <w:ind w:firstLine="720"/>
        <w:contextualSpacing/>
      </w:pPr>
    </w:p>
    <w:p w:rsidR="005C52C0" w:rsidRDefault="00CE59C8" w:rsidP="00CE59C8">
      <w:pPr>
        <w:spacing w:line="480" w:lineRule="auto"/>
        <w:jc w:val="center"/>
        <w:rPr>
          <w:rFonts w:cs="Times New Roman"/>
          <w:szCs w:val="24"/>
        </w:rPr>
      </w:pPr>
      <w:r>
        <w:rPr>
          <w:rFonts w:cs="Times New Roman"/>
          <w:szCs w:val="24"/>
        </w:rPr>
        <w:t>Discussion Post</w:t>
      </w:r>
    </w:p>
    <w:p w:rsidR="005C52C0" w:rsidRDefault="005C52C0" w:rsidP="005C52C0">
      <w:pPr>
        <w:spacing w:line="480" w:lineRule="auto"/>
        <w:jc w:val="center"/>
        <w:rPr>
          <w:rFonts w:cs="Times New Roman"/>
          <w:szCs w:val="24"/>
        </w:rPr>
      </w:pPr>
      <w:r>
        <w:rPr>
          <w:rFonts w:cs="Times New Roman"/>
          <w:szCs w:val="24"/>
        </w:rPr>
        <w:t>Students Name</w:t>
      </w:r>
    </w:p>
    <w:p w:rsidR="005C52C0" w:rsidRDefault="005C52C0" w:rsidP="005C52C0">
      <w:pPr>
        <w:spacing w:line="480" w:lineRule="auto"/>
        <w:jc w:val="center"/>
        <w:rPr>
          <w:rFonts w:cs="Times New Roman"/>
          <w:szCs w:val="24"/>
        </w:rPr>
      </w:pPr>
      <w:r>
        <w:rPr>
          <w:rFonts w:cs="Times New Roman"/>
          <w:szCs w:val="24"/>
        </w:rPr>
        <w:t>Professor’s Name</w:t>
      </w:r>
    </w:p>
    <w:p w:rsidR="005C52C0" w:rsidRDefault="005C52C0" w:rsidP="005C52C0">
      <w:pPr>
        <w:spacing w:line="480" w:lineRule="auto"/>
        <w:jc w:val="center"/>
        <w:rPr>
          <w:rFonts w:cs="Times New Roman"/>
          <w:szCs w:val="24"/>
        </w:rPr>
      </w:pPr>
      <w:r>
        <w:rPr>
          <w:rFonts w:cs="Times New Roman"/>
          <w:szCs w:val="24"/>
        </w:rPr>
        <w:t>Course Title</w:t>
      </w:r>
    </w:p>
    <w:p w:rsidR="005C52C0" w:rsidRDefault="005C52C0" w:rsidP="005C52C0">
      <w:pPr>
        <w:spacing w:line="480" w:lineRule="auto"/>
        <w:jc w:val="center"/>
        <w:rPr>
          <w:rFonts w:cs="Times New Roman"/>
          <w:szCs w:val="24"/>
        </w:rPr>
      </w:pPr>
      <w:r>
        <w:rPr>
          <w:rFonts w:cs="Times New Roman"/>
          <w:szCs w:val="24"/>
        </w:rPr>
        <w:t>Date</w:t>
      </w:r>
    </w:p>
    <w:p w:rsidR="005C52C0" w:rsidRDefault="005C52C0" w:rsidP="00F04F2D">
      <w:pPr>
        <w:spacing w:after="200" w:line="480" w:lineRule="auto"/>
        <w:ind w:firstLine="720"/>
        <w:contextualSpacing/>
      </w:pPr>
    </w:p>
    <w:p w:rsidR="005C52C0" w:rsidRDefault="005C52C0" w:rsidP="00F04F2D">
      <w:pPr>
        <w:spacing w:after="200" w:line="480" w:lineRule="auto"/>
        <w:ind w:firstLine="720"/>
        <w:contextualSpacing/>
      </w:pPr>
    </w:p>
    <w:p w:rsidR="005C52C0" w:rsidRDefault="005C52C0" w:rsidP="00F04F2D">
      <w:pPr>
        <w:spacing w:after="200" w:line="480" w:lineRule="auto"/>
        <w:ind w:firstLine="720"/>
        <w:contextualSpacing/>
      </w:pPr>
    </w:p>
    <w:p w:rsidR="005C52C0" w:rsidRDefault="005C52C0" w:rsidP="00F04F2D">
      <w:pPr>
        <w:spacing w:after="200" w:line="480" w:lineRule="auto"/>
        <w:ind w:firstLine="720"/>
        <w:contextualSpacing/>
      </w:pPr>
    </w:p>
    <w:p w:rsidR="005C52C0" w:rsidRDefault="005C52C0" w:rsidP="00F04F2D">
      <w:pPr>
        <w:spacing w:after="200" w:line="480" w:lineRule="auto"/>
        <w:ind w:firstLine="720"/>
        <w:contextualSpacing/>
      </w:pPr>
    </w:p>
    <w:p w:rsidR="00CE59C8" w:rsidRDefault="00CE59C8" w:rsidP="00F04F2D">
      <w:pPr>
        <w:spacing w:after="200" w:line="480" w:lineRule="auto"/>
        <w:ind w:firstLine="720"/>
        <w:contextualSpacing/>
      </w:pPr>
    </w:p>
    <w:p w:rsidR="00CE59C8" w:rsidRDefault="00CE59C8" w:rsidP="00F04F2D">
      <w:pPr>
        <w:spacing w:after="200" w:line="480" w:lineRule="auto"/>
        <w:ind w:firstLine="720"/>
        <w:contextualSpacing/>
      </w:pPr>
    </w:p>
    <w:p w:rsidR="00CE59C8" w:rsidRDefault="00CE59C8" w:rsidP="00F04F2D">
      <w:pPr>
        <w:spacing w:after="200" w:line="480" w:lineRule="auto"/>
        <w:ind w:firstLine="720"/>
        <w:contextualSpacing/>
      </w:pPr>
    </w:p>
    <w:p w:rsidR="00CE59C8" w:rsidRDefault="00CE59C8" w:rsidP="00F04F2D">
      <w:pPr>
        <w:spacing w:after="200" w:line="480" w:lineRule="auto"/>
        <w:ind w:firstLine="720"/>
        <w:contextualSpacing/>
      </w:pPr>
    </w:p>
    <w:p w:rsidR="00CE59C8" w:rsidRDefault="00CE59C8" w:rsidP="00F04F2D">
      <w:pPr>
        <w:spacing w:after="200" w:line="480" w:lineRule="auto"/>
        <w:ind w:firstLine="720"/>
        <w:contextualSpacing/>
      </w:pPr>
    </w:p>
    <w:p w:rsidR="005C52C0" w:rsidRDefault="005C52C0" w:rsidP="00F04F2D">
      <w:pPr>
        <w:spacing w:after="200" w:line="480" w:lineRule="auto"/>
        <w:ind w:firstLine="720"/>
        <w:contextualSpacing/>
      </w:pPr>
    </w:p>
    <w:p w:rsidR="000060BB" w:rsidRDefault="00074C9C" w:rsidP="00F04F2D">
      <w:pPr>
        <w:spacing w:after="200" w:line="480" w:lineRule="auto"/>
        <w:ind w:firstLine="720"/>
        <w:contextualSpacing/>
      </w:pPr>
      <w:r>
        <w:lastRenderedPageBreak/>
        <w:t xml:space="preserve">Violations to the Fourth amendment has frequently been happening in the US. In the case </w:t>
      </w:r>
      <w:r w:rsidRPr="00074C9C">
        <w:rPr>
          <w:i/>
          <w:iCs/>
        </w:rPr>
        <w:t>Weeks v. United States</w:t>
      </w:r>
      <w:r>
        <w:t xml:space="preserve">, 232 U.S. 383 (1914), the court made a decision that the constitutional rights of Weeks were violated. The case details revealed that the police invaded the home of Fremont Weeks without search warrant and seized some of the papers that implicated Weeks of transporting lottery tickets through mail. In conformity with the law, Weeks sued the police and petitioned for his possession to be returned arguing that his Fourth Amendment rights had been violated for the search that was conducted without warrant. </w:t>
      </w:r>
    </w:p>
    <w:p w:rsidR="006E00B8" w:rsidRDefault="005C52C0" w:rsidP="00CE59C8">
      <w:pPr>
        <w:spacing w:after="200" w:line="480" w:lineRule="auto"/>
        <w:ind w:firstLine="720"/>
        <w:contextualSpacing/>
      </w:pPr>
      <w:r>
        <w:t xml:space="preserve">In the ruling for </w:t>
      </w:r>
      <w:r w:rsidRPr="00CE59C8">
        <w:rPr>
          <w:i/>
        </w:rPr>
        <w:t>Mapp v. Ohio</w:t>
      </w:r>
      <w:r w:rsidRPr="005C52C0">
        <w:t>, 367 U.S. 643 (1961),</w:t>
      </w:r>
      <w:r w:rsidR="00CE59C8">
        <w:t xml:space="preserve"> the ruling by the Supreme Court made a decision that the evidence that was obtained in violation to 4</w:t>
      </w:r>
      <w:r w:rsidR="00CE59C8" w:rsidRPr="00CE59C8">
        <w:rPr>
          <w:vertAlign w:val="superscript"/>
        </w:rPr>
        <w:t>th</w:t>
      </w:r>
      <w:r w:rsidR="00CE59C8">
        <w:t xml:space="preserve"> Amendment could not be used in any state law criminal prosecution. </w:t>
      </w:r>
      <w:r w:rsidR="006E00B8">
        <w:t xml:space="preserve">This case is unique in its own way since it was the first time when the “exclusionary rule” was applied. The government refusal to return the possessions that belonged to Weeks was a clear violation of the Fourth Amendment.  The act of seizing private documents from a citizen and holding them as an evidence </w:t>
      </w:r>
      <w:r w:rsidR="00FA5A24">
        <w:t>against them showed that the Fourth Amendment rights which protected the citizens from  searches and seizures was of no value to the police</w:t>
      </w:r>
      <w:r w:rsidR="00CE59C8">
        <w:t xml:space="preserve"> (Johnson, 2016)</w:t>
      </w:r>
      <w:r w:rsidR="00FA5A24">
        <w:t xml:space="preserve">. </w:t>
      </w:r>
    </w:p>
    <w:p w:rsidR="00F04F2D" w:rsidRDefault="00FA5A24" w:rsidP="00F04F2D">
      <w:pPr>
        <w:spacing w:after="200" w:line="480" w:lineRule="auto"/>
        <w:ind w:firstLine="720"/>
        <w:contextualSpacing/>
      </w:pPr>
      <w:r>
        <w:t xml:space="preserve">Weeks </w:t>
      </w:r>
      <w:r w:rsidR="00CE59C8">
        <w:t xml:space="preserve">and Mapp </w:t>
      </w:r>
      <w:r>
        <w:t>ruling had a significant impact on the entire application of the Fourth Amendment since initially the police were not allowed to violate these rights in pursuit for evidence. Further, the unwarranted intrusion of private property was protected by the unanimous decision by the court. As a result, the evidence that was obtained illegally could not be used in the federal courts. However</w:t>
      </w:r>
      <w:r w:rsidR="00F04F2D">
        <w:t>, the cases did not have impact on the protection the Fourth Amendment rights by the state courts. The exclusionary rule was aimed at deterring the police misconduct which was in contravention of the constitutional provisions</w:t>
      </w:r>
      <w:r w:rsidR="00CE59C8">
        <w:t xml:space="preserve"> (</w:t>
      </w:r>
      <w:r w:rsidR="00CE59C8" w:rsidRPr="005C52C0">
        <w:t>Walk</w:t>
      </w:r>
      <w:r w:rsidR="00CE59C8">
        <w:t>er &amp; del Carmen</w:t>
      </w:r>
      <w:proofErr w:type="gramStart"/>
      <w:r w:rsidR="00CE59C8">
        <w:t xml:space="preserve">,  </w:t>
      </w:r>
      <w:r w:rsidR="00CE59C8" w:rsidRPr="005C52C0">
        <w:t>2014</w:t>
      </w:r>
      <w:proofErr w:type="gramEnd"/>
      <w:r w:rsidR="00CE59C8" w:rsidRPr="005C52C0">
        <w:t>). </w:t>
      </w:r>
      <w:r w:rsidR="00F04F2D">
        <w:t>.</w:t>
      </w:r>
    </w:p>
    <w:p w:rsidR="00CE59C8" w:rsidRDefault="00F04F2D" w:rsidP="00CE59C8">
      <w:pPr>
        <w:spacing w:after="200" w:line="480" w:lineRule="auto"/>
        <w:ind w:firstLine="720"/>
        <w:contextualSpacing/>
      </w:pPr>
      <w:r>
        <w:lastRenderedPageBreak/>
        <w:t>The case is crucial in the judicial history of the US since it addressed the question of whether warrantless search violated the 4</w:t>
      </w:r>
      <w:r w:rsidRPr="00F04F2D">
        <w:rPr>
          <w:vertAlign w:val="superscript"/>
        </w:rPr>
        <w:t>th</w:t>
      </w:r>
      <w:r>
        <w:t xml:space="preserve"> Amendment rights. Further, the ruling also ruled on the issue of admissibility of eviden</w:t>
      </w:r>
      <w:r w:rsidR="005C52C0">
        <w:t xml:space="preserve">ce that had been used under warrantless search and used in Federal criminal case Prosecution. </w:t>
      </w:r>
      <w:r w:rsidR="00CE59C8">
        <w:t>All these cases strengthen the 4</w:t>
      </w:r>
      <w:r w:rsidR="00CE59C8" w:rsidRPr="00CE59C8">
        <w:rPr>
          <w:vertAlign w:val="superscript"/>
        </w:rPr>
        <w:t>th</w:t>
      </w:r>
      <w:r w:rsidR="00CE59C8">
        <w:t xml:space="preserve"> Amendment protection against unwarranted seizures and searches. These rulings also ruled out the admissibility of evidence obtained in such incidences. </w:t>
      </w: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CE59C8" w:rsidRDefault="00CE59C8" w:rsidP="00CE59C8">
      <w:pPr>
        <w:spacing w:after="200" w:line="480" w:lineRule="auto"/>
        <w:ind w:firstLine="720"/>
        <w:contextualSpacing/>
      </w:pPr>
    </w:p>
    <w:p w:rsidR="005C52C0" w:rsidRDefault="005C52C0" w:rsidP="00CE59C8">
      <w:pPr>
        <w:spacing w:after="200" w:line="480" w:lineRule="auto"/>
        <w:ind w:firstLine="720"/>
        <w:contextualSpacing/>
        <w:jc w:val="center"/>
      </w:pPr>
      <w:r>
        <w:lastRenderedPageBreak/>
        <w:t>References</w:t>
      </w:r>
    </w:p>
    <w:p w:rsidR="005C52C0" w:rsidRDefault="005C52C0" w:rsidP="005C52C0">
      <w:pPr>
        <w:spacing w:after="200" w:line="480" w:lineRule="auto"/>
        <w:ind w:left="720" w:hanging="720"/>
        <w:contextualSpacing/>
      </w:pPr>
      <w:r w:rsidRPr="005C52C0">
        <w:t xml:space="preserve">Johnson, M. C. (2016). Discovering Arrest Warrants During Illegal Traffic Stops: The Lower Courts' Wrong Turn in the Exclusionary Rule Attenuation Analysis. </w:t>
      </w:r>
      <w:r w:rsidRPr="005C52C0">
        <w:rPr>
          <w:i/>
        </w:rPr>
        <w:t>Mississippi Law Journal,</w:t>
      </w:r>
      <w:r>
        <w:t xml:space="preserve"> </w:t>
      </w:r>
      <w:r w:rsidRPr="005C52C0">
        <w:t>85, 225.</w:t>
      </w:r>
    </w:p>
    <w:p w:rsidR="005C52C0" w:rsidRDefault="005C52C0" w:rsidP="005C52C0">
      <w:pPr>
        <w:spacing w:after="200" w:line="480" w:lineRule="auto"/>
        <w:ind w:left="720" w:hanging="720"/>
        <w:contextualSpacing/>
      </w:pPr>
      <w:r w:rsidRPr="005C52C0">
        <w:t xml:space="preserve">Walker, J. T., &amp; </w:t>
      </w:r>
      <w:proofErr w:type="gramStart"/>
      <w:r w:rsidRPr="005C52C0">
        <w:t>del</w:t>
      </w:r>
      <w:proofErr w:type="gramEnd"/>
      <w:r w:rsidRPr="005C52C0">
        <w:t xml:space="preserve"> Carmen, R. V. (2014). </w:t>
      </w:r>
      <w:r w:rsidRPr="005C52C0">
        <w:rPr>
          <w:i/>
          <w:iCs/>
        </w:rPr>
        <w:t>Briefs of leading cases in law enforcement</w:t>
      </w:r>
      <w:r w:rsidRPr="005C52C0">
        <w:t>. Routledge.</w:t>
      </w:r>
    </w:p>
    <w:sectPr w:rsidR="005C52C0" w:rsidSect="00CE59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33C" w:rsidRDefault="004B133C" w:rsidP="00CE59C8">
      <w:pPr>
        <w:spacing w:after="0" w:line="240" w:lineRule="auto"/>
      </w:pPr>
      <w:r>
        <w:separator/>
      </w:r>
    </w:p>
  </w:endnote>
  <w:endnote w:type="continuationSeparator" w:id="0">
    <w:p w:rsidR="004B133C" w:rsidRDefault="004B133C" w:rsidP="00CE5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33C" w:rsidRDefault="004B133C" w:rsidP="00CE59C8">
      <w:pPr>
        <w:spacing w:after="0" w:line="240" w:lineRule="auto"/>
      </w:pPr>
      <w:r>
        <w:separator/>
      </w:r>
    </w:p>
  </w:footnote>
  <w:footnote w:type="continuationSeparator" w:id="0">
    <w:p w:rsidR="004B133C" w:rsidRDefault="004B133C" w:rsidP="00CE59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9C8" w:rsidRDefault="00CE59C8">
    <w:pPr>
      <w:pStyle w:val="Header"/>
      <w:jc w:val="right"/>
    </w:pPr>
    <w:r>
      <w:t xml:space="preserve">DISCUSSION POST                                                                                                                       </w:t>
    </w:r>
    <w:sdt>
      <w:sdtPr>
        <w:id w:val="-1270947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77BF">
          <w:rPr>
            <w:noProof/>
          </w:rPr>
          <w:t>2</w:t>
        </w:r>
        <w:r>
          <w:rPr>
            <w:noProof/>
          </w:rPr>
          <w:fldChar w:fldCharType="end"/>
        </w:r>
      </w:sdtContent>
    </w:sdt>
  </w:p>
  <w:p w:rsidR="00CE59C8" w:rsidRDefault="00CE59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9C8" w:rsidRDefault="00CE59C8">
    <w:pPr>
      <w:pStyle w:val="Header"/>
      <w:jc w:val="right"/>
    </w:pPr>
    <w:r>
      <w:t xml:space="preserve">Running head: DISCUSSION POST                                                                                           </w:t>
    </w:r>
    <w:sdt>
      <w:sdtPr>
        <w:id w:val="5318498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E59C8" w:rsidRDefault="00CE59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2D3"/>
    <w:rsid w:val="00074C9C"/>
    <w:rsid w:val="000D42D3"/>
    <w:rsid w:val="0024520A"/>
    <w:rsid w:val="004B133C"/>
    <w:rsid w:val="00541F8A"/>
    <w:rsid w:val="005C52C0"/>
    <w:rsid w:val="005E6ADE"/>
    <w:rsid w:val="006E00B8"/>
    <w:rsid w:val="009477BF"/>
    <w:rsid w:val="00B84EC2"/>
    <w:rsid w:val="00CE59C8"/>
    <w:rsid w:val="00F04F2D"/>
    <w:rsid w:val="00FA5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4C9C"/>
    <w:rPr>
      <w:color w:val="0563C1" w:themeColor="hyperlink"/>
      <w:u w:val="single"/>
    </w:rPr>
  </w:style>
  <w:style w:type="paragraph" w:styleId="Header">
    <w:name w:val="header"/>
    <w:basedOn w:val="Normal"/>
    <w:link w:val="HeaderChar"/>
    <w:uiPriority w:val="99"/>
    <w:unhideWhenUsed/>
    <w:rsid w:val="00CE5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9C8"/>
  </w:style>
  <w:style w:type="paragraph" w:styleId="Footer">
    <w:name w:val="footer"/>
    <w:basedOn w:val="Normal"/>
    <w:link w:val="FooterChar"/>
    <w:uiPriority w:val="99"/>
    <w:unhideWhenUsed/>
    <w:rsid w:val="00CE5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306715">
      <w:bodyDiv w:val="1"/>
      <w:marLeft w:val="0"/>
      <w:marRight w:val="0"/>
      <w:marTop w:val="0"/>
      <w:marBottom w:val="0"/>
      <w:divBdr>
        <w:top w:val="none" w:sz="0" w:space="0" w:color="auto"/>
        <w:left w:val="none" w:sz="0" w:space="0" w:color="auto"/>
        <w:bottom w:val="none" w:sz="0" w:space="0" w:color="auto"/>
        <w:right w:val="none" w:sz="0" w:space="0" w:color="auto"/>
      </w:divBdr>
      <w:divsChild>
        <w:div w:id="30348860">
          <w:marLeft w:val="0"/>
          <w:marRight w:val="0"/>
          <w:marTop w:val="0"/>
          <w:marBottom w:val="0"/>
          <w:divBdr>
            <w:top w:val="none" w:sz="0" w:space="0" w:color="auto"/>
            <w:left w:val="none" w:sz="0" w:space="0" w:color="auto"/>
            <w:bottom w:val="none" w:sz="0" w:space="0" w:color="auto"/>
            <w:right w:val="none" w:sz="0" w:space="0" w:color="auto"/>
          </w:divBdr>
        </w:div>
        <w:div w:id="70740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997B4-8BE5-459A-BC09-714C40741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2018-09-23T23:46:00Z</dcterms:created>
  <dcterms:modified xsi:type="dcterms:W3CDTF">2018-09-23T23:46:00Z</dcterms:modified>
</cp:coreProperties>
</file>