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8416F" w:rsidRDefault="00255514" w:rsidP="005406B7">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ECONOMICS</w:t>
      </w:r>
    </w:p>
    <w:p w:rsidR="005406B7" w:rsidRDefault="005406B7" w:rsidP="005406B7">
      <w:pPr>
        <w:spacing w:line="480" w:lineRule="auto"/>
        <w:contextualSpacing/>
        <w:jc w:val="center"/>
        <w:rPr>
          <w:rFonts w:ascii="Times New Roman" w:hAnsi="Times New Roman" w:cs="Times New Roman"/>
          <w:b/>
          <w:bCs/>
          <w:sz w:val="24"/>
          <w:szCs w:val="24"/>
        </w:rPr>
      </w:pPr>
    </w:p>
    <w:p w:rsidR="005406B7" w:rsidRDefault="00255514" w:rsidP="005406B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5406B7" w:rsidRDefault="005406B7" w:rsidP="005406B7">
      <w:pPr>
        <w:spacing w:line="480" w:lineRule="auto"/>
        <w:contextualSpacing/>
        <w:jc w:val="center"/>
        <w:rPr>
          <w:rFonts w:ascii="Times New Roman" w:hAnsi="Times New Roman" w:cs="Times New Roman"/>
          <w:sz w:val="24"/>
          <w:szCs w:val="24"/>
        </w:rPr>
      </w:pPr>
    </w:p>
    <w:p w:rsidR="005406B7" w:rsidRDefault="00255514" w:rsidP="005406B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(Affiliated Institution)</w:t>
      </w:r>
    </w:p>
    <w:p w:rsidR="005406B7" w:rsidRDefault="005406B7" w:rsidP="005406B7">
      <w:pPr>
        <w:spacing w:line="480" w:lineRule="auto"/>
        <w:contextualSpacing/>
        <w:jc w:val="center"/>
        <w:rPr>
          <w:rFonts w:ascii="Times New Roman" w:hAnsi="Times New Roman" w:cs="Times New Roman"/>
          <w:sz w:val="24"/>
          <w:szCs w:val="24"/>
        </w:rPr>
      </w:pPr>
    </w:p>
    <w:p w:rsidR="005406B7" w:rsidRDefault="00255514" w:rsidP="005406B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5406B7" w:rsidRDefault="005406B7" w:rsidP="005406B7">
      <w:pPr>
        <w:spacing w:line="480" w:lineRule="auto"/>
        <w:contextualSpacing/>
        <w:jc w:val="center"/>
        <w:rPr>
          <w:rFonts w:ascii="Times New Roman" w:hAnsi="Times New Roman" w:cs="Times New Roman"/>
          <w:sz w:val="24"/>
          <w:szCs w:val="24"/>
        </w:rPr>
      </w:pPr>
    </w:p>
    <w:p w:rsidR="005406B7" w:rsidRDefault="00255514" w:rsidP="005406B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5406B7" w:rsidRDefault="00255514">
      <w:pPr>
        <w:rPr>
          <w:rFonts w:ascii="Times New Roman" w:hAnsi="Times New Roman" w:cs="Times New Roman"/>
          <w:sz w:val="24"/>
          <w:szCs w:val="24"/>
        </w:rPr>
      </w:pPr>
      <w:r>
        <w:rPr>
          <w:rFonts w:ascii="Times New Roman" w:hAnsi="Times New Roman" w:cs="Times New Roman"/>
          <w:sz w:val="24"/>
          <w:szCs w:val="24"/>
        </w:rPr>
        <w:br w:type="page"/>
      </w:r>
    </w:p>
    <w:p w:rsidR="00FB0703" w:rsidRPr="00FB0703" w:rsidRDefault="00255514" w:rsidP="00FB0703">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Economics</w:t>
      </w:r>
    </w:p>
    <w:p w:rsidR="005406B7" w:rsidRDefault="00255514" w:rsidP="000B577F">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The isoquant curve is defined as the microeconomics curve that outlines all the required inputs</w:t>
      </w:r>
      <w:r>
        <w:rPr>
          <w:rFonts w:ascii="Times New Roman" w:hAnsi="Times New Roman" w:cs="Times New Roman"/>
          <w:sz w:val="24"/>
          <w:szCs w:val="24"/>
        </w:rPr>
        <w:t xml:space="preserve"> to achieve a certain level of output in production. It is a contour line drawn through the points in which the same amount of output is produced while altering the amount of input </w:t>
      </w:r>
      <w:r w:rsidR="000A0D2D">
        <w:rPr>
          <w:rFonts w:ascii="Times New Roman" w:hAnsi="Times New Roman" w:cs="Times New Roman"/>
          <w:sz w:val="24"/>
          <w:szCs w:val="24"/>
        </w:rPr>
        <w:t>used. On</w:t>
      </w:r>
      <w:r>
        <w:rPr>
          <w:rFonts w:ascii="Times New Roman" w:hAnsi="Times New Roman" w:cs="Times New Roman"/>
          <w:sz w:val="24"/>
          <w:szCs w:val="24"/>
        </w:rPr>
        <w:t xml:space="preserve"> the other </w:t>
      </w:r>
      <w:r w:rsidR="000A0D2D">
        <w:rPr>
          <w:rFonts w:ascii="Times New Roman" w:hAnsi="Times New Roman" w:cs="Times New Roman"/>
          <w:sz w:val="24"/>
          <w:szCs w:val="24"/>
        </w:rPr>
        <w:t>hand, an</w:t>
      </w:r>
      <w:r>
        <w:rPr>
          <w:rFonts w:ascii="Times New Roman" w:hAnsi="Times New Roman" w:cs="Times New Roman"/>
          <w:sz w:val="24"/>
          <w:szCs w:val="24"/>
        </w:rPr>
        <w:t xml:space="preserve"> isocost curve </w:t>
      </w:r>
      <w:r w:rsidR="000A0D2D">
        <w:rPr>
          <w:rFonts w:ascii="Times New Roman" w:hAnsi="Times New Roman" w:cs="Times New Roman"/>
          <w:sz w:val="24"/>
          <w:szCs w:val="24"/>
        </w:rPr>
        <w:t xml:space="preserve">is defined as a curve that shows that combining inputs possess a constant cost of the </w:t>
      </w:r>
      <w:r w:rsidR="000B577F">
        <w:rPr>
          <w:rFonts w:ascii="Times New Roman" w:hAnsi="Times New Roman" w:cs="Times New Roman"/>
          <w:sz w:val="24"/>
          <w:szCs w:val="24"/>
        </w:rPr>
        <w:t>market. It</w:t>
      </w:r>
      <w:r w:rsidR="000A0D2D">
        <w:rPr>
          <w:rFonts w:ascii="Times New Roman" w:hAnsi="Times New Roman" w:cs="Times New Roman"/>
          <w:sz w:val="24"/>
          <w:szCs w:val="24"/>
        </w:rPr>
        <w:t xml:space="preserve"> is a straight line whose gradient </w:t>
      </w:r>
      <w:r w:rsidR="000B577F">
        <w:rPr>
          <w:rFonts w:ascii="Times New Roman" w:hAnsi="Times New Roman" w:cs="Times New Roman"/>
          <w:sz w:val="24"/>
          <w:szCs w:val="24"/>
        </w:rPr>
        <w:t>represents relativity in the prices of various factors in production. The isoquant curve is meant to help various firms make changes in the inputs allocated to ensure that the output is also produced.</w:t>
      </w:r>
    </w:p>
    <w:p w:rsidR="005406B7" w:rsidRDefault="0014371B" w:rsidP="000B577F">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Moreover, the combination of both isocost and isoquant curves aims to achieve an optimum point of production at a certain level of output </w:t>
      </w:r>
      <w:r w:rsidR="00797455">
        <w:rPr>
          <w:rFonts w:ascii="Times New Roman" w:hAnsi="Times New Roman" w:cs="Times New Roman"/>
          <w:sz w:val="24"/>
          <w:szCs w:val="24"/>
        </w:rPr>
        <w:t>production. When both the isocost and isoquant are tangent, the minimization of cost is achieved</w:t>
      </w:r>
      <w:r w:rsidR="00FB0703">
        <w:rPr>
          <w:rFonts w:ascii="Times New Roman" w:hAnsi="Times New Roman" w:cs="Times New Roman"/>
          <w:sz w:val="24"/>
          <w:szCs w:val="24"/>
        </w:rPr>
        <w:t xml:space="preserve"> (</w:t>
      </w:r>
      <w:r w:rsidR="00FB0703" w:rsidRPr="00FB0703">
        <w:rPr>
          <w:rFonts w:ascii="Times New Roman" w:hAnsi="Times New Roman" w:cs="Times New Roman"/>
          <w:color w:val="222222"/>
          <w:sz w:val="24"/>
          <w:szCs w:val="24"/>
          <w:shd w:val="clear" w:color="auto" w:fill="FFFFFF"/>
        </w:rPr>
        <w:t>Decker</w:t>
      </w:r>
      <w:r w:rsidR="00FB0703">
        <w:rPr>
          <w:rFonts w:ascii="Times New Roman" w:hAnsi="Times New Roman" w:cs="Times New Roman"/>
          <w:color w:val="222222"/>
          <w:sz w:val="24"/>
          <w:szCs w:val="24"/>
          <w:shd w:val="clear" w:color="auto" w:fill="FFFFFF"/>
        </w:rPr>
        <w:t xml:space="preserve"> et al. (2019)</w:t>
      </w:r>
      <w:r w:rsidR="00797455">
        <w:rPr>
          <w:rFonts w:ascii="Times New Roman" w:hAnsi="Times New Roman" w:cs="Times New Roman"/>
          <w:sz w:val="24"/>
          <w:szCs w:val="24"/>
        </w:rPr>
        <w:t>. The reason behind this is that when this occurs, the ratio meant for the prices of the factors of production is equivalent to the ratio of the marginal products</w:t>
      </w:r>
      <w:r w:rsidR="00306763">
        <w:rPr>
          <w:rFonts w:ascii="Times New Roman" w:hAnsi="Times New Roman" w:cs="Times New Roman"/>
          <w:sz w:val="24"/>
          <w:szCs w:val="24"/>
        </w:rPr>
        <w:t>.</w:t>
      </w:r>
    </w:p>
    <w:p w:rsidR="006D2CC3" w:rsidRDefault="00255514" w:rsidP="000B577F">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FB0703">
        <w:rPr>
          <w:rFonts w:ascii="Times New Roman" w:hAnsi="Times New Roman" w:cs="Times New Roman"/>
          <w:sz w:val="24"/>
          <w:szCs w:val="24"/>
        </w:rPr>
        <w:t xml:space="preserve"> </w:t>
      </w:r>
      <w:r>
        <w:rPr>
          <w:rFonts w:ascii="Times New Roman" w:hAnsi="Times New Roman" w:cs="Times New Roman"/>
          <w:sz w:val="24"/>
          <w:szCs w:val="24"/>
        </w:rPr>
        <w:t xml:space="preserve"> </w:t>
      </w:r>
      <w:r w:rsidR="00FB0703">
        <w:rPr>
          <w:rFonts w:ascii="Times New Roman" w:hAnsi="Times New Roman" w:cs="Times New Roman"/>
          <w:sz w:val="24"/>
          <w:szCs w:val="24"/>
        </w:rPr>
        <w:t>According to (</w:t>
      </w:r>
      <w:r w:rsidR="00FB0703" w:rsidRPr="00FB0703">
        <w:rPr>
          <w:rFonts w:ascii="Times New Roman" w:hAnsi="Times New Roman" w:cs="Times New Roman"/>
          <w:color w:val="222222"/>
          <w:sz w:val="24"/>
          <w:szCs w:val="24"/>
          <w:shd w:val="clear" w:color="auto" w:fill="FFFFFF"/>
        </w:rPr>
        <w:t>Endres</w:t>
      </w:r>
      <w:r w:rsidR="00FB0703">
        <w:rPr>
          <w:rFonts w:ascii="Times New Roman" w:hAnsi="Times New Roman" w:cs="Times New Roman"/>
          <w:color w:val="222222"/>
          <w:sz w:val="24"/>
          <w:szCs w:val="24"/>
          <w:shd w:val="clear" w:color="auto" w:fill="FFFFFF"/>
        </w:rPr>
        <w:t xml:space="preserve"> et al. (2020)</w:t>
      </w:r>
      <w:r>
        <w:rPr>
          <w:rFonts w:ascii="Times New Roman" w:hAnsi="Times New Roman" w:cs="Times New Roman"/>
          <w:sz w:val="24"/>
          <w:szCs w:val="24"/>
        </w:rPr>
        <w:t xml:space="preserve">, </w:t>
      </w:r>
      <w:r w:rsidR="00FB0703">
        <w:rPr>
          <w:rFonts w:ascii="Times New Roman" w:hAnsi="Times New Roman" w:cs="Times New Roman"/>
          <w:sz w:val="24"/>
          <w:szCs w:val="24"/>
        </w:rPr>
        <w:t>t</w:t>
      </w:r>
      <w:r>
        <w:rPr>
          <w:rFonts w:ascii="Times New Roman" w:hAnsi="Times New Roman" w:cs="Times New Roman"/>
          <w:sz w:val="24"/>
          <w:szCs w:val="24"/>
        </w:rPr>
        <w:t>he wheat market is considered an excellent example of the competitive market. The reason behind this is that generally, there are many producers of wheat</w:t>
      </w:r>
      <w:r w:rsidR="00800DD7">
        <w:rPr>
          <w:rFonts w:ascii="Times New Roman" w:hAnsi="Times New Roman" w:cs="Times New Roman"/>
          <w:sz w:val="24"/>
          <w:szCs w:val="24"/>
        </w:rPr>
        <w:t>. Therefore, the</w:t>
      </w:r>
      <w:r>
        <w:rPr>
          <w:rFonts w:ascii="Times New Roman" w:hAnsi="Times New Roman" w:cs="Times New Roman"/>
          <w:sz w:val="24"/>
          <w:szCs w:val="24"/>
        </w:rPr>
        <w:t xml:space="preserve"> wheat market price cannot be affected by just one individual wheat pr</w:t>
      </w:r>
      <w:r>
        <w:rPr>
          <w:rFonts w:ascii="Times New Roman" w:hAnsi="Times New Roman" w:cs="Times New Roman"/>
          <w:sz w:val="24"/>
          <w:szCs w:val="24"/>
        </w:rPr>
        <w:t>oducer</w:t>
      </w:r>
      <w:r w:rsidR="00800DD7">
        <w:rPr>
          <w:rFonts w:ascii="Times New Roman" w:hAnsi="Times New Roman" w:cs="Times New Roman"/>
          <w:sz w:val="24"/>
          <w:szCs w:val="24"/>
        </w:rPr>
        <w:t xml:space="preserve"> either by increasing or decreasing his or her output. Concerning this, the market price is predetermined by the </w:t>
      </w:r>
      <w:r w:rsidR="00D430BC">
        <w:rPr>
          <w:rFonts w:ascii="Times New Roman" w:hAnsi="Times New Roman" w:cs="Times New Roman"/>
          <w:sz w:val="24"/>
          <w:szCs w:val="24"/>
        </w:rPr>
        <w:t xml:space="preserve">farmer. On the other hand, an example of a monopoly is the Microsoft and windows company because it remains the sole seller of its products. There are no closely related substitutes. However, monopolistic competition combines the characteristics of both monopoly and the competitive structures of the market. An example of the monopolistic is the restaurant. This is because, in </w:t>
      </w:r>
      <w:r w:rsidR="00FF07EE">
        <w:rPr>
          <w:rFonts w:ascii="Times New Roman" w:hAnsi="Times New Roman" w:cs="Times New Roman"/>
          <w:sz w:val="24"/>
          <w:szCs w:val="24"/>
        </w:rPr>
        <w:t>restaurants</w:t>
      </w:r>
      <w:r w:rsidR="00D430BC">
        <w:rPr>
          <w:rFonts w:ascii="Times New Roman" w:hAnsi="Times New Roman" w:cs="Times New Roman"/>
          <w:sz w:val="24"/>
          <w:szCs w:val="24"/>
        </w:rPr>
        <w:t>, people compete for both the quality and the food pr</w:t>
      </w:r>
      <w:r w:rsidR="00FF07EE">
        <w:rPr>
          <w:rFonts w:ascii="Times New Roman" w:hAnsi="Times New Roman" w:cs="Times New Roman"/>
          <w:sz w:val="24"/>
          <w:szCs w:val="24"/>
        </w:rPr>
        <w:t>ice. Differentiation of products is a crucial element in the business.</w:t>
      </w:r>
    </w:p>
    <w:p w:rsidR="006D2CC3" w:rsidRDefault="00E03AB3" w:rsidP="000B577F">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Moreover,</w:t>
      </w:r>
      <w:r w:rsidR="00FF07EE">
        <w:rPr>
          <w:rFonts w:ascii="Times New Roman" w:hAnsi="Times New Roman" w:cs="Times New Roman"/>
          <w:sz w:val="24"/>
          <w:szCs w:val="24"/>
        </w:rPr>
        <w:t xml:space="preserve"> in restaurants, there are </w:t>
      </w:r>
      <w:r>
        <w:rPr>
          <w:rFonts w:ascii="Times New Roman" w:hAnsi="Times New Roman" w:cs="Times New Roman"/>
          <w:sz w:val="24"/>
          <w:szCs w:val="24"/>
        </w:rPr>
        <w:t>reasonably low</w:t>
      </w:r>
      <w:r w:rsidR="00FF07EE">
        <w:rPr>
          <w:rFonts w:ascii="Times New Roman" w:hAnsi="Times New Roman" w:cs="Times New Roman"/>
          <w:sz w:val="24"/>
          <w:szCs w:val="24"/>
        </w:rPr>
        <w:t xml:space="preserve"> entry </w:t>
      </w:r>
      <w:r>
        <w:rPr>
          <w:rFonts w:ascii="Times New Roman" w:hAnsi="Times New Roman" w:cs="Times New Roman"/>
          <w:sz w:val="24"/>
          <w:szCs w:val="24"/>
        </w:rPr>
        <w:t>barriers. In an</w:t>
      </w:r>
      <w:r w:rsidR="00FF07EE">
        <w:rPr>
          <w:rFonts w:ascii="Times New Roman" w:hAnsi="Times New Roman" w:cs="Times New Roman"/>
          <w:sz w:val="24"/>
          <w:szCs w:val="24"/>
        </w:rPr>
        <w:t xml:space="preserve"> </w:t>
      </w:r>
      <w:r>
        <w:rPr>
          <w:rFonts w:ascii="Times New Roman" w:hAnsi="Times New Roman" w:cs="Times New Roman"/>
          <w:sz w:val="24"/>
          <w:szCs w:val="24"/>
        </w:rPr>
        <w:t xml:space="preserve">Oligopoly type of market structure, two or more firms combine to achieve a common control f the market. An excellent example of an Oligopoly is the mobile phone. This is because the market control of mobile phones is composed of different types of mobile </w:t>
      </w:r>
      <w:r w:rsidR="002772BC">
        <w:rPr>
          <w:rFonts w:ascii="Times New Roman" w:hAnsi="Times New Roman" w:cs="Times New Roman"/>
          <w:sz w:val="24"/>
          <w:szCs w:val="24"/>
        </w:rPr>
        <w:t xml:space="preserve">phones. The maximum profit realization occurs at a point where the marginal revenue is equal to the marginal cost. The reason is that this is the point where is the most significant gap between the total amount of revenue used and </w:t>
      </w:r>
      <w:r w:rsidR="00586FE4">
        <w:rPr>
          <w:rFonts w:ascii="Times New Roman" w:hAnsi="Times New Roman" w:cs="Times New Roman"/>
          <w:sz w:val="24"/>
          <w:szCs w:val="24"/>
        </w:rPr>
        <w:t xml:space="preserve">the total </w:t>
      </w:r>
      <w:r w:rsidR="00255514">
        <w:rPr>
          <w:rFonts w:ascii="Times New Roman" w:hAnsi="Times New Roman" w:cs="Times New Roman"/>
          <w:sz w:val="24"/>
          <w:szCs w:val="24"/>
        </w:rPr>
        <w:t xml:space="preserve">cost. If a market produces a minimum quantity, then the marginal </w:t>
      </w:r>
      <w:r w:rsidR="00255514">
        <w:rPr>
          <w:rFonts w:ascii="Times New Roman" w:hAnsi="Times New Roman" w:cs="Times New Roman"/>
          <w:sz w:val="24"/>
          <w:szCs w:val="24"/>
        </w:rPr>
        <w:t>revenue value is greater than the marginal cost at the output levels. Therefore the firm can only make higher profits by maximizing the value of the output. On the other hand, if the marginal cost is greater than the marginal cost, the market can only achi</w:t>
      </w:r>
      <w:r w:rsidR="00255514">
        <w:rPr>
          <w:rFonts w:ascii="Times New Roman" w:hAnsi="Times New Roman" w:cs="Times New Roman"/>
          <w:sz w:val="24"/>
          <w:szCs w:val="24"/>
        </w:rPr>
        <w:t>eve high profits by minimizing the output quantity. Therefore, the best point for profit maximization is where the marginal revenue is equal to the marginal cost</w:t>
      </w:r>
      <w:r w:rsidR="00FB0703">
        <w:rPr>
          <w:rFonts w:ascii="Times New Roman" w:hAnsi="Times New Roman" w:cs="Times New Roman"/>
          <w:sz w:val="24"/>
          <w:szCs w:val="24"/>
        </w:rPr>
        <w:t xml:space="preserve"> (</w:t>
      </w:r>
      <w:r w:rsidR="00FB0703" w:rsidRPr="00FB0703">
        <w:rPr>
          <w:rFonts w:ascii="Times New Roman" w:hAnsi="Times New Roman" w:cs="Times New Roman"/>
          <w:color w:val="222222"/>
          <w:sz w:val="24"/>
          <w:szCs w:val="24"/>
          <w:shd w:val="clear" w:color="auto" w:fill="FFFFFF"/>
        </w:rPr>
        <w:t>Nasreen</w:t>
      </w:r>
      <w:r w:rsidR="00FB0703">
        <w:rPr>
          <w:rFonts w:ascii="Times New Roman" w:hAnsi="Times New Roman" w:cs="Times New Roman"/>
          <w:sz w:val="24"/>
          <w:szCs w:val="24"/>
        </w:rPr>
        <w:t xml:space="preserve"> et al. (2019). </w:t>
      </w:r>
    </w:p>
    <w:p w:rsidR="006D2CC3" w:rsidRDefault="00255514">
      <w:pPr>
        <w:rPr>
          <w:rFonts w:ascii="Times New Roman" w:hAnsi="Times New Roman" w:cs="Times New Roman"/>
          <w:sz w:val="24"/>
          <w:szCs w:val="24"/>
        </w:rPr>
      </w:pPr>
      <w:r>
        <w:rPr>
          <w:rFonts w:ascii="Times New Roman" w:hAnsi="Times New Roman" w:cs="Times New Roman"/>
          <w:sz w:val="24"/>
          <w:szCs w:val="24"/>
        </w:rPr>
        <w:br w:type="page"/>
      </w:r>
    </w:p>
    <w:p w:rsidR="00306763" w:rsidRDefault="00255514" w:rsidP="000B577F">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rsidR="006D2CC3" w:rsidRPr="00FB0703" w:rsidRDefault="00255514" w:rsidP="00FB0703">
      <w:pPr>
        <w:spacing w:line="480" w:lineRule="auto"/>
        <w:ind w:left="720" w:hanging="720"/>
        <w:contextualSpacing/>
        <w:jc w:val="both"/>
        <w:rPr>
          <w:rFonts w:ascii="Times New Roman" w:hAnsi="Times New Roman" w:cs="Times New Roman"/>
          <w:color w:val="222222"/>
          <w:sz w:val="24"/>
          <w:szCs w:val="24"/>
          <w:shd w:val="clear" w:color="auto" w:fill="FFFFFF"/>
        </w:rPr>
      </w:pPr>
      <w:r w:rsidRPr="00FB0703">
        <w:rPr>
          <w:rFonts w:ascii="Times New Roman" w:hAnsi="Times New Roman" w:cs="Times New Roman"/>
          <w:color w:val="222222"/>
          <w:sz w:val="24"/>
          <w:szCs w:val="24"/>
          <w:shd w:val="clear" w:color="auto" w:fill="FFFFFF"/>
        </w:rPr>
        <w:t>Decker, C. S. (2019). Illustrating the Difference Betwee</w:t>
      </w:r>
      <w:r w:rsidRPr="00FB0703">
        <w:rPr>
          <w:rFonts w:ascii="Times New Roman" w:hAnsi="Times New Roman" w:cs="Times New Roman"/>
          <w:color w:val="222222"/>
          <w:sz w:val="24"/>
          <w:szCs w:val="24"/>
          <w:shd w:val="clear" w:color="auto" w:fill="FFFFFF"/>
        </w:rPr>
        <w:t>n a Pigovian Tax and Emissions Fee Using Isoquant and Isocost Geometry. </w:t>
      </w:r>
      <w:r w:rsidRPr="00FB0703">
        <w:rPr>
          <w:rFonts w:ascii="Times New Roman" w:hAnsi="Times New Roman" w:cs="Times New Roman"/>
          <w:i/>
          <w:iCs/>
          <w:color w:val="222222"/>
          <w:sz w:val="24"/>
          <w:szCs w:val="24"/>
          <w:shd w:val="clear" w:color="auto" w:fill="FFFFFF"/>
        </w:rPr>
        <w:t>The American Economist</w:t>
      </w:r>
      <w:r w:rsidRPr="00FB0703">
        <w:rPr>
          <w:rFonts w:ascii="Times New Roman" w:hAnsi="Times New Roman" w:cs="Times New Roman"/>
          <w:color w:val="222222"/>
          <w:sz w:val="24"/>
          <w:szCs w:val="24"/>
          <w:shd w:val="clear" w:color="auto" w:fill="FFFFFF"/>
        </w:rPr>
        <w:t>, </w:t>
      </w:r>
      <w:r w:rsidRPr="00FB0703">
        <w:rPr>
          <w:rFonts w:ascii="Times New Roman" w:hAnsi="Times New Roman" w:cs="Times New Roman"/>
          <w:i/>
          <w:iCs/>
          <w:color w:val="222222"/>
          <w:sz w:val="24"/>
          <w:szCs w:val="24"/>
          <w:shd w:val="clear" w:color="auto" w:fill="FFFFFF"/>
        </w:rPr>
        <w:t>64</w:t>
      </w:r>
      <w:r w:rsidRPr="00FB0703">
        <w:rPr>
          <w:rFonts w:ascii="Times New Roman" w:hAnsi="Times New Roman" w:cs="Times New Roman"/>
          <w:color w:val="222222"/>
          <w:sz w:val="24"/>
          <w:szCs w:val="24"/>
          <w:shd w:val="clear" w:color="auto" w:fill="FFFFFF"/>
        </w:rPr>
        <w:t>(2), 282-292.</w:t>
      </w:r>
    </w:p>
    <w:p w:rsidR="00FB0703" w:rsidRPr="00FB0703" w:rsidRDefault="00255514" w:rsidP="00FB0703">
      <w:pPr>
        <w:spacing w:line="480" w:lineRule="auto"/>
        <w:ind w:left="720" w:hanging="720"/>
        <w:contextualSpacing/>
        <w:jc w:val="both"/>
        <w:rPr>
          <w:rFonts w:ascii="Times New Roman" w:hAnsi="Times New Roman" w:cs="Times New Roman"/>
          <w:color w:val="222222"/>
          <w:sz w:val="24"/>
          <w:szCs w:val="24"/>
          <w:shd w:val="clear" w:color="auto" w:fill="FFFFFF"/>
        </w:rPr>
      </w:pPr>
      <w:r w:rsidRPr="00FB0703">
        <w:rPr>
          <w:rFonts w:ascii="Times New Roman" w:hAnsi="Times New Roman" w:cs="Times New Roman"/>
          <w:color w:val="222222"/>
          <w:sz w:val="24"/>
          <w:szCs w:val="24"/>
          <w:shd w:val="clear" w:color="auto" w:fill="FFFFFF"/>
        </w:rPr>
        <w:t xml:space="preserve">Endres, H., Helm, R., &amp; Dowling, M. (2020). Linking the types of market knowledge sourcing with sensing capability and revenue growth: </w:t>
      </w:r>
      <w:r w:rsidRPr="00FB0703">
        <w:rPr>
          <w:rFonts w:ascii="Times New Roman" w:hAnsi="Times New Roman" w:cs="Times New Roman"/>
          <w:color w:val="222222"/>
          <w:sz w:val="24"/>
          <w:szCs w:val="24"/>
          <w:shd w:val="clear" w:color="auto" w:fill="FFFFFF"/>
        </w:rPr>
        <w:t>Evidence from industrial firms. </w:t>
      </w:r>
      <w:r w:rsidRPr="00FB0703">
        <w:rPr>
          <w:rFonts w:ascii="Times New Roman" w:hAnsi="Times New Roman" w:cs="Times New Roman"/>
          <w:i/>
          <w:iCs/>
          <w:color w:val="222222"/>
          <w:sz w:val="24"/>
          <w:szCs w:val="24"/>
          <w:shd w:val="clear" w:color="auto" w:fill="FFFFFF"/>
        </w:rPr>
        <w:t>Industrial Marketing Management</w:t>
      </w:r>
      <w:r w:rsidRPr="00FB0703">
        <w:rPr>
          <w:rFonts w:ascii="Times New Roman" w:hAnsi="Times New Roman" w:cs="Times New Roman"/>
          <w:color w:val="222222"/>
          <w:sz w:val="24"/>
          <w:szCs w:val="24"/>
          <w:shd w:val="clear" w:color="auto" w:fill="FFFFFF"/>
        </w:rPr>
        <w:t>, </w:t>
      </w:r>
      <w:r w:rsidRPr="00FB0703">
        <w:rPr>
          <w:rFonts w:ascii="Times New Roman" w:hAnsi="Times New Roman" w:cs="Times New Roman"/>
          <w:i/>
          <w:iCs/>
          <w:color w:val="222222"/>
          <w:sz w:val="24"/>
          <w:szCs w:val="24"/>
          <w:shd w:val="clear" w:color="auto" w:fill="FFFFFF"/>
        </w:rPr>
        <w:t>90</w:t>
      </w:r>
      <w:r w:rsidRPr="00FB0703">
        <w:rPr>
          <w:rFonts w:ascii="Times New Roman" w:hAnsi="Times New Roman" w:cs="Times New Roman"/>
          <w:color w:val="222222"/>
          <w:sz w:val="24"/>
          <w:szCs w:val="24"/>
          <w:shd w:val="clear" w:color="auto" w:fill="FFFFFF"/>
        </w:rPr>
        <w:t>, 30-43.</w:t>
      </w:r>
    </w:p>
    <w:p w:rsidR="00FB0703" w:rsidRPr="00FB0703" w:rsidRDefault="00255514" w:rsidP="00FB0703">
      <w:pPr>
        <w:spacing w:line="480" w:lineRule="auto"/>
        <w:ind w:left="720" w:hanging="720"/>
        <w:contextualSpacing/>
        <w:jc w:val="both"/>
        <w:rPr>
          <w:rFonts w:ascii="Times New Roman" w:hAnsi="Times New Roman" w:cs="Times New Roman"/>
          <w:sz w:val="24"/>
          <w:szCs w:val="24"/>
        </w:rPr>
      </w:pPr>
      <w:r w:rsidRPr="00FB0703">
        <w:rPr>
          <w:rFonts w:ascii="Times New Roman" w:hAnsi="Times New Roman" w:cs="Times New Roman"/>
          <w:color w:val="222222"/>
          <w:sz w:val="24"/>
          <w:szCs w:val="24"/>
          <w:shd w:val="clear" w:color="auto" w:fill="FFFFFF"/>
        </w:rPr>
        <w:t>Nasreen, Z., &amp; Ruming, K. (2019). Room sharing in Sydney: A complex mix of affordability, overcrowding, and profit maximization. </w:t>
      </w:r>
      <w:r w:rsidRPr="00FB0703">
        <w:rPr>
          <w:rFonts w:ascii="Times New Roman" w:hAnsi="Times New Roman" w:cs="Times New Roman"/>
          <w:i/>
          <w:iCs/>
          <w:color w:val="222222"/>
          <w:sz w:val="24"/>
          <w:szCs w:val="24"/>
          <w:shd w:val="clear" w:color="auto" w:fill="FFFFFF"/>
        </w:rPr>
        <w:t>Urban Policy and Research</w:t>
      </w:r>
      <w:r w:rsidRPr="00FB0703">
        <w:rPr>
          <w:rFonts w:ascii="Times New Roman" w:hAnsi="Times New Roman" w:cs="Times New Roman"/>
          <w:color w:val="222222"/>
          <w:sz w:val="24"/>
          <w:szCs w:val="24"/>
          <w:shd w:val="clear" w:color="auto" w:fill="FFFFFF"/>
        </w:rPr>
        <w:t>, </w:t>
      </w:r>
      <w:r w:rsidRPr="00FB0703">
        <w:rPr>
          <w:rFonts w:ascii="Times New Roman" w:hAnsi="Times New Roman" w:cs="Times New Roman"/>
          <w:i/>
          <w:iCs/>
          <w:color w:val="222222"/>
          <w:sz w:val="24"/>
          <w:szCs w:val="24"/>
          <w:shd w:val="clear" w:color="auto" w:fill="FFFFFF"/>
        </w:rPr>
        <w:t>37</w:t>
      </w:r>
      <w:r w:rsidRPr="00FB0703">
        <w:rPr>
          <w:rFonts w:ascii="Times New Roman" w:hAnsi="Times New Roman" w:cs="Times New Roman"/>
          <w:color w:val="222222"/>
          <w:sz w:val="24"/>
          <w:szCs w:val="24"/>
          <w:shd w:val="clear" w:color="auto" w:fill="FFFFFF"/>
        </w:rPr>
        <w:t>(2), 151-169.</w:t>
      </w:r>
    </w:p>
    <w:sectPr w:rsidR="00FB0703" w:rsidRPr="00FB0703" w:rsidSect="005406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255514">
      <w:pPr>
        <w:spacing w:after="0" w:line="240" w:lineRule="auto"/>
      </w:pPr>
      <w:r>
        <w:separator/>
      </w:r>
    </w:p>
  </w:endnote>
  <w:endnote w:type="continuationSeparator" w:id="0">
    <w:p w:rsidR="00000000" w:rsidRDefault="00255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255514">
      <w:pPr>
        <w:spacing w:after="0" w:line="240" w:lineRule="auto"/>
      </w:pPr>
      <w:r>
        <w:separator/>
      </w:r>
    </w:p>
  </w:footnote>
  <w:footnote w:type="continuationSeparator" w:id="0">
    <w:p w:rsidR="00000000" w:rsidRDefault="00255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95414632"/>
      <w:docPartObj>
        <w:docPartGallery w:val="Page Numbers (Top of Page)"/>
        <w:docPartUnique/>
      </w:docPartObj>
    </w:sdtPr>
    <w:sdtEndPr>
      <w:rPr>
        <w:rFonts w:ascii="Times New Roman" w:hAnsi="Times New Roman" w:cs="Times New Roman"/>
        <w:noProof/>
        <w:sz w:val="24"/>
        <w:szCs w:val="24"/>
      </w:rPr>
    </w:sdtEndPr>
    <w:sdtContent>
      <w:p w:rsidR="005406B7" w:rsidRPr="005406B7" w:rsidRDefault="00255514">
        <w:pPr>
          <w:pStyle w:val="Header"/>
          <w:jc w:val="right"/>
          <w:rPr>
            <w:rFonts w:ascii="Times New Roman" w:hAnsi="Times New Roman" w:cs="Times New Roman"/>
            <w:sz w:val="24"/>
            <w:szCs w:val="24"/>
          </w:rPr>
        </w:pPr>
        <w:r w:rsidRPr="005406B7">
          <w:rPr>
            <w:rFonts w:ascii="Times New Roman" w:hAnsi="Times New Roman" w:cs="Times New Roman"/>
            <w:sz w:val="24"/>
            <w:szCs w:val="24"/>
          </w:rPr>
          <w:t>ECONOMICS</w:t>
        </w:r>
        <w:r>
          <w:rPr>
            <w:rFonts w:ascii="Times New Roman" w:hAnsi="Times New Roman" w:cs="Times New Roman"/>
            <w:sz w:val="24"/>
            <w:szCs w:val="24"/>
          </w:rPr>
          <w:tab/>
        </w:r>
        <w:r>
          <w:rPr>
            <w:rFonts w:ascii="Times New Roman" w:hAnsi="Times New Roman" w:cs="Times New Roman"/>
            <w:sz w:val="24"/>
            <w:szCs w:val="24"/>
          </w:rPr>
          <w:tab/>
        </w:r>
        <w:r w:rsidRPr="005406B7">
          <w:rPr>
            <w:rFonts w:ascii="Times New Roman" w:hAnsi="Times New Roman" w:cs="Times New Roman"/>
            <w:sz w:val="24"/>
            <w:szCs w:val="24"/>
          </w:rPr>
          <w:fldChar w:fldCharType="begin"/>
        </w:r>
        <w:r w:rsidRPr="005406B7">
          <w:rPr>
            <w:rFonts w:ascii="Times New Roman" w:hAnsi="Times New Roman" w:cs="Times New Roman"/>
            <w:sz w:val="24"/>
            <w:szCs w:val="24"/>
          </w:rPr>
          <w:instrText xml:space="preserve"> PAGE   \* MERGEFORMAT </w:instrText>
        </w:r>
        <w:r w:rsidRPr="005406B7">
          <w:rPr>
            <w:rFonts w:ascii="Times New Roman" w:hAnsi="Times New Roman" w:cs="Times New Roman"/>
            <w:sz w:val="24"/>
            <w:szCs w:val="24"/>
          </w:rPr>
          <w:fldChar w:fldCharType="separate"/>
        </w:r>
        <w:r w:rsidRPr="005406B7">
          <w:rPr>
            <w:rFonts w:ascii="Times New Roman" w:hAnsi="Times New Roman" w:cs="Times New Roman"/>
            <w:noProof/>
            <w:sz w:val="24"/>
            <w:szCs w:val="24"/>
          </w:rPr>
          <w:t>2</w:t>
        </w:r>
        <w:r w:rsidRPr="005406B7">
          <w:rPr>
            <w:rFonts w:ascii="Times New Roman" w:hAnsi="Times New Roman" w:cs="Times New Roman"/>
            <w:noProof/>
            <w:sz w:val="24"/>
            <w:szCs w:val="24"/>
          </w:rPr>
          <w:fldChar w:fldCharType="end"/>
        </w:r>
      </w:p>
    </w:sdtContent>
  </w:sdt>
  <w:p w:rsidR="005406B7" w:rsidRDefault="005406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406B7" w:rsidRPr="005406B7" w:rsidRDefault="00255514">
    <w:pPr>
      <w:pStyle w:val="Header"/>
      <w:jc w:val="right"/>
      <w:rPr>
        <w:rFonts w:ascii="Times New Roman" w:hAnsi="Times New Roman" w:cs="Times New Roman"/>
        <w:sz w:val="24"/>
        <w:szCs w:val="24"/>
      </w:rPr>
    </w:pPr>
    <w:r w:rsidRPr="005406B7">
      <w:rPr>
        <w:rFonts w:ascii="Times New Roman" w:hAnsi="Times New Roman" w:cs="Times New Roman"/>
        <w:sz w:val="24"/>
        <w:szCs w:val="24"/>
      </w:rPr>
      <w:t>Running head:</w:t>
    </w:r>
    <w:r>
      <w:rPr>
        <w:rFonts w:ascii="Times New Roman" w:hAnsi="Times New Roman" w:cs="Times New Roman"/>
        <w:sz w:val="24"/>
        <w:szCs w:val="24"/>
      </w:rPr>
      <w:t xml:space="preserve"> </w:t>
    </w:r>
    <w:r w:rsidRPr="005406B7">
      <w:rPr>
        <w:rFonts w:ascii="Times New Roman" w:hAnsi="Times New Roman" w:cs="Times New Roman"/>
        <w:sz w:val="24"/>
        <w:szCs w:val="24"/>
      </w:rPr>
      <w:t>ECONOMICS</w:t>
    </w:r>
    <w:sdt>
      <w:sdtPr>
        <w:rPr>
          <w:rFonts w:ascii="Times New Roman" w:hAnsi="Times New Roman" w:cs="Times New Roman"/>
          <w:sz w:val="24"/>
          <w:szCs w:val="24"/>
        </w:rPr>
        <w:id w:val="-28412469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406B7">
          <w:rPr>
            <w:rFonts w:ascii="Times New Roman" w:hAnsi="Times New Roman" w:cs="Times New Roman"/>
            <w:sz w:val="24"/>
            <w:szCs w:val="24"/>
          </w:rPr>
          <w:fldChar w:fldCharType="begin"/>
        </w:r>
        <w:r w:rsidRPr="005406B7">
          <w:rPr>
            <w:rFonts w:ascii="Times New Roman" w:hAnsi="Times New Roman" w:cs="Times New Roman"/>
            <w:sz w:val="24"/>
            <w:szCs w:val="24"/>
          </w:rPr>
          <w:instrText xml:space="preserve"> PAGE   \* MERGEFORMAT </w:instrText>
        </w:r>
        <w:r w:rsidRPr="005406B7">
          <w:rPr>
            <w:rFonts w:ascii="Times New Roman" w:hAnsi="Times New Roman" w:cs="Times New Roman"/>
            <w:sz w:val="24"/>
            <w:szCs w:val="24"/>
          </w:rPr>
          <w:fldChar w:fldCharType="separate"/>
        </w:r>
        <w:r w:rsidRPr="005406B7">
          <w:rPr>
            <w:rFonts w:ascii="Times New Roman" w:hAnsi="Times New Roman" w:cs="Times New Roman"/>
            <w:noProof/>
            <w:sz w:val="24"/>
            <w:szCs w:val="24"/>
          </w:rPr>
          <w:t>2</w:t>
        </w:r>
        <w:r w:rsidRPr="005406B7">
          <w:rPr>
            <w:rFonts w:ascii="Times New Roman" w:hAnsi="Times New Roman" w:cs="Times New Roman"/>
            <w:noProof/>
            <w:sz w:val="24"/>
            <w:szCs w:val="24"/>
          </w:rPr>
          <w:fldChar w:fldCharType="end"/>
        </w:r>
      </w:sdtContent>
    </w:sdt>
  </w:p>
  <w:p w:rsidR="005406B7" w:rsidRDefault="005406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2sDSxNLewMDc1NjBR0lEKTi0uzszPAykwrAUAsqU99SwAAAA="/>
  </w:docVars>
  <w:rsids>
    <w:rsidRoot w:val="005406B7"/>
    <w:rsid w:val="000A0D2D"/>
    <w:rsid w:val="000B577F"/>
    <w:rsid w:val="0014371B"/>
    <w:rsid w:val="00255514"/>
    <w:rsid w:val="002772BC"/>
    <w:rsid w:val="00306763"/>
    <w:rsid w:val="005406B7"/>
    <w:rsid w:val="00586FE4"/>
    <w:rsid w:val="0068416F"/>
    <w:rsid w:val="006D2CC3"/>
    <w:rsid w:val="00797455"/>
    <w:rsid w:val="00800DD7"/>
    <w:rsid w:val="008A706B"/>
    <w:rsid w:val="00AE2D6B"/>
    <w:rsid w:val="00D224F3"/>
    <w:rsid w:val="00D430BC"/>
    <w:rsid w:val="00E03AB3"/>
    <w:rsid w:val="00FB0703"/>
    <w:rsid w:val="00FF0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A764361-D5A1-4B5A-AD6E-C04035FD5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6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6B7"/>
  </w:style>
  <w:style w:type="paragraph" w:styleId="Footer">
    <w:name w:val="footer"/>
    <w:basedOn w:val="Normal"/>
    <w:link w:val="FooterChar"/>
    <w:uiPriority w:val="99"/>
    <w:unhideWhenUsed/>
    <w:rsid w:val="005406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254716226303</cp:lastModifiedBy>
  <cp:revision>2</cp:revision>
  <dcterms:created xsi:type="dcterms:W3CDTF">2020-10-16T12:28:00Z</dcterms:created>
  <dcterms:modified xsi:type="dcterms:W3CDTF">2020-10-16T12:28:00Z</dcterms:modified>
</cp:coreProperties>
</file>