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B00B9" w:rsidRPr="00A874CD" w:rsidP="00A874CD">
      <w:pPr>
        <w:ind w:firstLine="0"/>
        <w:rPr>
          <w:rFonts w:ascii="Times New Roman" w:hAnsi="Times New Roman" w:cs="Times New Roman"/>
        </w:rPr>
      </w:pPr>
    </w:p>
    <w:p w:rsidR="001B00B9" w:rsidRPr="00A874CD" w:rsidP="00A874CD">
      <w:pPr>
        <w:ind w:firstLine="0"/>
        <w:rPr>
          <w:rFonts w:ascii="Times New Roman" w:hAnsi="Times New Roman" w:cs="Times New Roman"/>
        </w:rPr>
      </w:pPr>
    </w:p>
    <w:p w:rsidR="001B00B9" w:rsidRPr="00A874CD" w:rsidP="00A874CD">
      <w:pPr>
        <w:ind w:firstLine="0"/>
        <w:rPr>
          <w:rFonts w:ascii="Times New Roman" w:hAnsi="Times New Roman" w:cs="Times New Roman"/>
        </w:rPr>
      </w:pPr>
    </w:p>
    <w:p w:rsidR="001B00B9" w:rsidRPr="00A874CD" w:rsidP="00A874CD">
      <w:pPr>
        <w:ind w:firstLine="0"/>
        <w:rPr>
          <w:rFonts w:ascii="Times New Roman" w:hAnsi="Times New Roman" w:cs="Times New Roman"/>
        </w:rPr>
      </w:pPr>
    </w:p>
    <w:p w:rsidR="001B00B9" w:rsidRPr="00A874CD" w:rsidP="00A874CD">
      <w:pPr>
        <w:ind w:firstLine="0"/>
        <w:jc w:val="center"/>
        <w:rPr>
          <w:rFonts w:ascii="Times New Roman" w:hAnsi="Times New Roman" w:cs="Times New Roman"/>
          <w:b/>
        </w:rPr>
      </w:pPr>
      <w:r w:rsidRPr="00A874CD">
        <w:rPr>
          <w:rFonts w:ascii="Times New Roman" w:hAnsi="Times New Roman" w:cs="Times New Roman"/>
          <w:b/>
        </w:rPr>
        <w:t>Challenges in Penetrating Multispecialty Groups Markets</w:t>
      </w:r>
    </w:p>
    <w:p w:rsidR="001B00B9" w:rsidRPr="00A874CD" w:rsidP="00A874CD">
      <w:pPr>
        <w:ind w:firstLine="0"/>
        <w:jc w:val="center"/>
        <w:rPr>
          <w:rFonts w:ascii="Times New Roman" w:hAnsi="Times New Roman" w:cs="Times New Roman"/>
        </w:rPr>
      </w:pPr>
    </w:p>
    <w:p w:rsidR="001B00B9" w:rsidRPr="00A874CD" w:rsidP="00A874CD">
      <w:pPr>
        <w:ind w:firstLine="0"/>
        <w:jc w:val="center"/>
        <w:rPr>
          <w:rFonts w:ascii="Times New Roman" w:hAnsi="Times New Roman" w:cs="Times New Roman"/>
        </w:rPr>
      </w:pPr>
    </w:p>
    <w:p w:rsidR="001B00B9" w:rsidRPr="00A874CD" w:rsidP="00A874CD">
      <w:pPr>
        <w:ind w:firstLine="0"/>
        <w:jc w:val="center"/>
        <w:rPr>
          <w:rFonts w:ascii="Times New Roman" w:hAnsi="Times New Roman" w:cs="Times New Roman"/>
        </w:rPr>
      </w:pPr>
      <w:r w:rsidRPr="00A874CD">
        <w:rPr>
          <w:rFonts w:ascii="Times New Roman" w:hAnsi="Times New Roman" w:cs="Times New Roman"/>
        </w:rPr>
        <w:t>Student’s Name</w:t>
      </w:r>
    </w:p>
    <w:p w:rsidR="001B00B9" w:rsidRPr="00A874CD" w:rsidP="00A874CD">
      <w:pPr>
        <w:ind w:firstLine="0"/>
        <w:jc w:val="center"/>
        <w:rPr>
          <w:rFonts w:ascii="Times New Roman" w:hAnsi="Times New Roman" w:cs="Times New Roman"/>
        </w:rPr>
      </w:pPr>
      <w:r w:rsidRPr="00A874CD">
        <w:rPr>
          <w:rFonts w:ascii="Times New Roman" w:hAnsi="Times New Roman" w:cs="Times New Roman"/>
        </w:rPr>
        <w:t>Department, University</w:t>
      </w:r>
    </w:p>
    <w:p w:rsidR="001B00B9" w:rsidRPr="00A874CD" w:rsidP="00A874CD">
      <w:pPr>
        <w:ind w:firstLine="0"/>
        <w:jc w:val="center"/>
        <w:rPr>
          <w:rFonts w:ascii="Times New Roman" w:hAnsi="Times New Roman" w:cs="Times New Roman"/>
        </w:rPr>
      </w:pPr>
      <w:r w:rsidRPr="00A874CD">
        <w:rPr>
          <w:rFonts w:ascii="Times New Roman" w:hAnsi="Times New Roman" w:cs="Times New Roman"/>
        </w:rPr>
        <w:t>Course Name; Course Code</w:t>
      </w:r>
    </w:p>
    <w:p w:rsidR="001B00B9" w:rsidRPr="00A874CD" w:rsidP="00A874CD">
      <w:pPr>
        <w:ind w:firstLine="0"/>
        <w:jc w:val="center"/>
        <w:rPr>
          <w:rFonts w:ascii="Times New Roman" w:hAnsi="Times New Roman" w:cs="Times New Roman"/>
        </w:rPr>
      </w:pPr>
      <w:r w:rsidRPr="00A874CD">
        <w:rPr>
          <w:rFonts w:ascii="Times New Roman" w:hAnsi="Times New Roman" w:cs="Times New Roman"/>
        </w:rPr>
        <w:t>Professor’s Name</w:t>
      </w:r>
    </w:p>
    <w:p w:rsidR="001B00B9" w:rsidRPr="00A874CD" w:rsidP="00A874CD">
      <w:pPr>
        <w:ind w:firstLine="0"/>
        <w:jc w:val="center"/>
        <w:rPr>
          <w:rFonts w:ascii="Times New Roman" w:hAnsi="Times New Roman" w:cs="Times New Roman"/>
        </w:rPr>
      </w:pPr>
      <w:r w:rsidRPr="00A874CD">
        <w:rPr>
          <w:rFonts w:ascii="Times New Roman" w:hAnsi="Times New Roman" w:cs="Times New Roman"/>
        </w:rPr>
        <w:t>Date</w:t>
      </w:r>
      <w:r w:rsidRPr="00A874CD">
        <w:rPr>
          <w:rFonts w:ascii="Times New Roman" w:hAnsi="Times New Roman" w:cs="Times New Roman"/>
        </w:rPr>
        <w:br w:type="page"/>
      </w:r>
    </w:p>
    <w:p w:rsidR="001B00B9" w:rsidRPr="00A874CD" w:rsidP="00A874CD">
      <w:pPr>
        <w:ind w:firstLine="0"/>
        <w:jc w:val="center"/>
        <w:rPr>
          <w:rFonts w:ascii="Times New Roman" w:hAnsi="Times New Roman" w:cs="Times New Roman"/>
          <w:b/>
        </w:rPr>
      </w:pPr>
      <w:r w:rsidRPr="00A874CD">
        <w:rPr>
          <w:rFonts w:ascii="Times New Roman" w:hAnsi="Times New Roman" w:cs="Times New Roman"/>
          <w:b/>
        </w:rPr>
        <w:t>Challenges in Penetrating Multispecialty Groups Markets</w:t>
      </w:r>
    </w:p>
    <w:p w:rsidR="000D66E5" w:rsidRPr="00A874CD" w:rsidP="00A874CD">
      <w:pPr>
        <w:ind w:firstLine="0"/>
        <w:rPr>
          <w:rFonts w:ascii="Times New Roman" w:hAnsi="Times New Roman" w:cs="Times New Roman"/>
          <w:b/>
        </w:rPr>
      </w:pPr>
      <w:r w:rsidRPr="00A874CD">
        <w:rPr>
          <w:rFonts w:ascii="Times New Roman" w:hAnsi="Times New Roman" w:cs="Times New Roman"/>
          <w:b/>
        </w:rPr>
        <w:t>Eclipse sells electronic health record systems. The company's marketing and sales divisions have its annual meeting to set goals for the coming years. At the beginning of the meeting, they review past performance. In a review of the accounts, the senior director of sales breaks down the markets that have been penetrated: "We have done a really good job of penetrating the single-specialty groups like orthopedics and cardiology. I am impressed by your accomplishments. You have all done a spectacular job, but the real potential is in the multispecialty practices, and we are having difficulty penetrating this market. I am stumped." One of the more experienced sales representatives speaks up: "From what I hear, Cerner, our big competition, has the same problem." Diagnose the problem that Eclypsis and Cerner are having in getting adoption among multispecialty groups.
</w:t>
      </w:r>
    </w:p>
    <w:p w:rsidR="00200D0D" w:rsidRPr="00A874CD" w:rsidP="00A874CD">
      <w:pPr>
        <w:rPr>
          <w:rFonts w:ascii="Times New Roman" w:hAnsi="Times New Roman" w:cs="Times New Roman"/>
        </w:rPr>
      </w:pPr>
      <w:r w:rsidRPr="00A874CD">
        <w:rPr>
          <w:rFonts w:ascii="Times New Roman" w:hAnsi="Times New Roman" w:cs="Times New Roman"/>
        </w:rPr>
        <w:t xml:space="preserve">Both Eclypsis and Cerner have </w:t>
      </w:r>
      <w:r w:rsidRPr="00A874CD">
        <w:rPr>
          <w:rFonts w:ascii="Times New Roman" w:hAnsi="Times New Roman" w:cs="Times New Roman"/>
        </w:rPr>
        <w:t>structures</w:t>
      </w:r>
      <w:r w:rsidRPr="00A874CD">
        <w:rPr>
          <w:rFonts w:ascii="Times New Roman" w:hAnsi="Times New Roman" w:cs="Times New Roman"/>
        </w:rPr>
        <w:t xml:space="preserve"> that are </w:t>
      </w:r>
      <w:r w:rsidRPr="00A874CD">
        <w:rPr>
          <w:rFonts w:ascii="Times New Roman" w:hAnsi="Times New Roman" w:cs="Times New Roman"/>
        </w:rPr>
        <w:t>more</w:t>
      </w:r>
      <w:r w:rsidRPr="00A874CD">
        <w:rPr>
          <w:rFonts w:ascii="Times New Roman" w:hAnsi="Times New Roman" w:cs="Times New Roman"/>
        </w:rPr>
        <w:t xml:space="preserve"> </w:t>
      </w:r>
      <w:r w:rsidRPr="00A874CD">
        <w:rPr>
          <w:rFonts w:ascii="Times New Roman" w:hAnsi="Times New Roman" w:cs="Times New Roman"/>
        </w:rPr>
        <w:t>complex</w:t>
      </w:r>
      <w:r w:rsidRPr="00A874CD">
        <w:rPr>
          <w:rFonts w:ascii="Times New Roman" w:hAnsi="Times New Roman" w:cs="Times New Roman"/>
        </w:rPr>
        <w:t xml:space="preserve"> in comparison to </w:t>
      </w:r>
      <w:r w:rsidRPr="00A874CD">
        <w:rPr>
          <w:rFonts w:ascii="Times New Roman" w:hAnsi="Times New Roman" w:cs="Times New Roman"/>
        </w:rPr>
        <w:t>single</w:t>
      </w:r>
      <w:r w:rsidRPr="00A874CD">
        <w:rPr>
          <w:rFonts w:ascii="Times New Roman" w:hAnsi="Times New Roman" w:cs="Times New Roman"/>
        </w:rPr>
        <w:t>-</w:t>
      </w:r>
      <w:r w:rsidRPr="00A874CD">
        <w:rPr>
          <w:rFonts w:ascii="Times New Roman" w:hAnsi="Times New Roman" w:cs="Times New Roman"/>
        </w:rPr>
        <w:t>specialty organizations</w:t>
      </w:r>
      <w:r w:rsidRPr="00A874CD">
        <w:rPr>
          <w:rFonts w:ascii="Times New Roman" w:hAnsi="Times New Roman" w:cs="Times New Roman"/>
        </w:rPr>
        <w:t xml:space="preserve">. The complexity in their system and operations creates a </w:t>
      </w:r>
      <w:r w:rsidRPr="00A874CD">
        <w:rPr>
          <w:rFonts w:ascii="Times New Roman" w:hAnsi="Times New Roman" w:cs="Times New Roman"/>
        </w:rPr>
        <w:t>challenge</w:t>
      </w:r>
      <w:r w:rsidRPr="00A874CD">
        <w:rPr>
          <w:rFonts w:ascii="Times New Roman" w:hAnsi="Times New Roman" w:cs="Times New Roman"/>
        </w:rPr>
        <w:t xml:space="preserve"> in the organization’s rate of adoption. O</w:t>
      </w:r>
      <w:r w:rsidRPr="00A874CD">
        <w:rPr>
          <w:rFonts w:ascii="Times New Roman" w:hAnsi="Times New Roman" w:cs="Times New Roman"/>
        </w:rPr>
        <w:t>ne</w:t>
      </w:r>
      <w:r w:rsidRPr="00A874CD">
        <w:rPr>
          <w:rFonts w:ascii="Times New Roman" w:hAnsi="Times New Roman" w:cs="Times New Roman"/>
        </w:rPr>
        <w:t xml:space="preserve"> </w:t>
      </w:r>
      <w:r w:rsidRPr="00A874CD">
        <w:rPr>
          <w:rFonts w:ascii="Times New Roman" w:hAnsi="Times New Roman" w:cs="Times New Roman"/>
        </w:rPr>
        <w:t>avenue</w:t>
      </w:r>
      <w:r w:rsidRPr="00A874CD">
        <w:rPr>
          <w:rFonts w:ascii="Times New Roman" w:hAnsi="Times New Roman" w:cs="Times New Roman"/>
        </w:rPr>
        <w:t xml:space="preserve"> that such a </w:t>
      </w:r>
      <w:r w:rsidRPr="00A874CD">
        <w:rPr>
          <w:rFonts w:ascii="Times New Roman" w:hAnsi="Times New Roman" w:cs="Times New Roman"/>
        </w:rPr>
        <w:t>challenge</w:t>
      </w:r>
      <w:r w:rsidRPr="00A874CD">
        <w:rPr>
          <w:rFonts w:ascii="Times New Roman" w:hAnsi="Times New Roman" w:cs="Times New Roman"/>
        </w:rPr>
        <w:t xml:space="preserve"> </w:t>
      </w:r>
      <w:r w:rsidRPr="00A874CD">
        <w:rPr>
          <w:rFonts w:ascii="Times New Roman" w:hAnsi="Times New Roman" w:cs="Times New Roman"/>
        </w:rPr>
        <w:t>manifests</w:t>
      </w:r>
      <w:r w:rsidRPr="00A874CD">
        <w:rPr>
          <w:rFonts w:ascii="Times New Roman" w:hAnsi="Times New Roman" w:cs="Times New Roman"/>
        </w:rPr>
        <w:t xml:space="preserve"> is in communication. </w:t>
      </w:r>
      <w:r w:rsidRPr="00A874CD">
        <w:rPr>
          <w:rFonts w:ascii="Times New Roman" w:hAnsi="Times New Roman" w:cs="Times New Roman"/>
        </w:rPr>
        <w:t>The consideration plays a significant role in structuring a multidisciplinary practice and influences the organizations' flexibility in question</w:t>
      </w:r>
      <w:r w:rsidRPr="00A874CD" w:rsidR="003F0F3E">
        <w:rPr>
          <w:rFonts w:ascii="Times New Roman" w:hAnsi="Times New Roman" w:cs="Times New Roman"/>
        </w:rPr>
        <w:t xml:space="preserve"> (</w:t>
      </w:r>
      <w:r w:rsidRPr="00A874CD" w:rsidR="003F0F3E">
        <w:rPr>
          <w:rFonts w:ascii="Times New Roman" w:hAnsi="Times New Roman" w:cs="Times New Roman"/>
          <w:color w:val="222222"/>
          <w:shd w:val="clear" w:color="auto" w:fill="FFFFFF"/>
        </w:rPr>
        <w:t>Deering</w:t>
      </w:r>
      <w:r w:rsidRPr="00A874CD" w:rsidR="003F0F3E">
        <w:rPr>
          <w:rFonts w:ascii="Times New Roman" w:hAnsi="Times New Roman" w:cs="Times New Roman"/>
          <w:color w:val="222222"/>
          <w:shd w:val="clear" w:color="auto" w:fill="FFFFFF"/>
        </w:rPr>
        <w:t xml:space="preserve">, Johnston, &amp; </w:t>
      </w:r>
      <w:r w:rsidRPr="00A874CD" w:rsidR="003F0F3E">
        <w:rPr>
          <w:rFonts w:ascii="Times New Roman" w:hAnsi="Times New Roman" w:cs="Times New Roman"/>
          <w:color w:val="222222"/>
          <w:shd w:val="clear" w:color="auto" w:fill="FFFFFF"/>
        </w:rPr>
        <w:t>Colacchio</w:t>
      </w:r>
      <w:r w:rsidRPr="00A874CD" w:rsidR="003F0F3E">
        <w:rPr>
          <w:rFonts w:ascii="Times New Roman" w:hAnsi="Times New Roman" w:cs="Times New Roman"/>
        </w:rPr>
        <w:t>, 2011)</w:t>
      </w:r>
      <w:r w:rsidRPr="00A874CD">
        <w:rPr>
          <w:rFonts w:ascii="Times New Roman" w:hAnsi="Times New Roman" w:cs="Times New Roman"/>
        </w:rPr>
        <w:t xml:space="preserve">. </w:t>
      </w:r>
    </w:p>
    <w:p w:rsidR="005D41FC" w:rsidRPr="00A874CD" w:rsidP="00A874CD">
      <w:pPr>
        <w:rPr>
          <w:rFonts w:ascii="Times New Roman" w:hAnsi="Times New Roman" w:cs="Times New Roman"/>
        </w:rPr>
      </w:pPr>
      <w:r w:rsidRPr="00A874CD">
        <w:rPr>
          <w:rFonts w:ascii="Times New Roman" w:hAnsi="Times New Roman" w:cs="Times New Roman"/>
        </w:rPr>
        <w:t xml:space="preserve">Eclypsis and Cerner probably lack effective channels of </w:t>
      </w:r>
      <w:r w:rsidRPr="00A874CD" w:rsidR="00200D0D">
        <w:rPr>
          <w:rFonts w:ascii="Times New Roman" w:hAnsi="Times New Roman" w:cs="Times New Roman"/>
        </w:rPr>
        <w:t xml:space="preserve">sending and receiving information among </w:t>
      </w:r>
      <w:r w:rsidRPr="00A874CD">
        <w:rPr>
          <w:rFonts w:ascii="Times New Roman" w:hAnsi="Times New Roman" w:cs="Times New Roman"/>
        </w:rPr>
        <w:t xml:space="preserve">interdisciplinary </w:t>
      </w:r>
      <w:r w:rsidRPr="00A874CD" w:rsidR="00200D0D">
        <w:rPr>
          <w:rFonts w:ascii="Times New Roman" w:hAnsi="Times New Roman" w:cs="Times New Roman"/>
        </w:rPr>
        <w:t xml:space="preserve">groups. Both organizations have multidisciplinary groups that include healthcare leaders, nurses, physicians, patient safety staff, and healthcare staff. An avenue that influences the challenge in communication and influences the rate of adoption is the institutions' infrastructure. The context provides grounds for the analysis of technology and information channels. A potential situation highlights that technology and information coding </w:t>
      </w:r>
      <w:r w:rsidRPr="00A874CD" w:rsidR="00200D0D">
        <w:rPr>
          <w:rFonts w:ascii="Times New Roman" w:hAnsi="Times New Roman" w:cs="Times New Roman"/>
        </w:rPr>
        <w:t>adopted by single-specialty groups differs from the multispecialty groups. The above elements foreshadow an additional issue in both organizations failing to communicate multi-systems' potential merits effectively. 
</w:t>
      </w:r>
    </w:p>
    <w:p w:rsidR="001F2C3A" w:rsidRPr="00A874CD" w:rsidP="00A874CD">
      <w:pPr>
        <w:rPr>
          <w:rFonts w:ascii="Times New Roman" w:hAnsi="Times New Roman" w:cs="Times New Roman"/>
        </w:rPr>
      </w:pPr>
      <w:r w:rsidRPr="00A874CD">
        <w:rPr>
          <w:rFonts w:ascii="Times New Roman" w:hAnsi="Times New Roman" w:cs="Times New Roman"/>
        </w:rPr>
        <w:t xml:space="preserve">Both organizations stand to gain and improve operations from structuring their firms such that they include regular follow-ups with all healthcare stakeholders. </w:t>
      </w:r>
      <w:r w:rsidRPr="00A874CD" w:rsidR="00A874CD">
        <w:rPr>
          <w:rFonts w:ascii="Times New Roman" w:hAnsi="Times New Roman" w:cs="Times New Roman"/>
        </w:rPr>
        <w:t xml:space="preserve">There is an established necessity for both organizations to ensure that all practitioners understand the significance of coordinated care and attach the context with an electronic health record system. </w:t>
      </w:r>
      <w:r w:rsidRPr="00A874CD" w:rsidR="00AF6597">
        <w:rPr>
          <w:rFonts w:ascii="Times New Roman" w:hAnsi="Times New Roman" w:cs="Times New Roman"/>
        </w:rPr>
        <w:t xml:space="preserve">Development </w:t>
      </w:r>
      <w:r w:rsidRPr="00A874CD" w:rsidR="008B3763">
        <w:rPr>
          <w:rFonts w:ascii="Times New Roman" w:hAnsi="Times New Roman" w:cs="Times New Roman"/>
        </w:rPr>
        <w:t>initiatives</w:t>
      </w:r>
      <w:r w:rsidRPr="00A874CD" w:rsidR="00AF6597">
        <w:rPr>
          <w:rFonts w:ascii="Times New Roman" w:hAnsi="Times New Roman" w:cs="Times New Roman"/>
        </w:rPr>
        <w:t xml:space="preserve"> for communication should </w:t>
      </w:r>
      <w:r w:rsidRPr="00A874CD" w:rsidR="008B3763">
        <w:rPr>
          <w:rFonts w:ascii="Times New Roman" w:hAnsi="Times New Roman" w:cs="Times New Roman"/>
        </w:rPr>
        <w:t>take</w:t>
      </w:r>
      <w:r w:rsidRPr="00A874CD" w:rsidR="00AF6597">
        <w:rPr>
          <w:rFonts w:ascii="Times New Roman" w:hAnsi="Times New Roman" w:cs="Times New Roman"/>
        </w:rPr>
        <w:t xml:space="preserve"> </w:t>
      </w:r>
      <w:r w:rsidRPr="00A874CD" w:rsidR="008B3763">
        <w:rPr>
          <w:rFonts w:ascii="Times New Roman" w:hAnsi="Times New Roman" w:cs="Times New Roman"/>
        </w:rPr>
        <w:t>account</w:t>
      </w:r>
      <w:r w:rsidRPr="00A874CD" w:rsidR="00AF6597">
        <w:rPr>
          <w:rFonts w:ascii="Times New Roman" w:hAnsi="Times New Roman" w:cs="Times New Roman"/>
        </w:rPr>
        <w:t xml:space="preserve"> of both </w:t>
      </w:r>
      <w:r w:rsidRPr="00A874CD" w:rsidR="008B3763">
        <w:rPr>
          <w:rFonts w:ascii="Times New Roman" w:hAnsi="Times New Roman" w:cs="Times New Roman"/>
        </w:rPr>
        <w:t>verbal</w:t>
      </w:r>
      <w:r w:rsidRPr="00A874CD" w:rsidR="00AF6597">
        <w:rPr>
          <w:rFonts w:ascii="Times New Roman" w:hAnsi="Times New Roman" w:cs="Times New Roman"/>
        </w:rPr>
        <w:t xml:space="preserve"> and nonverbal for </w:t>
      </w:r>
      <w:r w:rsidRPr="00A874CD" w:rsidR="008B3763">
        <w:rPr>
          <w:rFonts w:ascii="Times New Roman" w:hAnsi="Times New Roman" w:cs="Times New Roman"/>
        </w:rPr>
        <w:t>multidisciplinary</w:t>
      </w:r>
      <w:r w:rsidRPr="00A874CD" w:rsidR="00AF6597">
        <w:rPr>
          <w:rFonts w:ascii="Times New Roman" w:hAnsi="Times New Roman" w:cs="Times New Roman"/>
        </w:rPr>
        <w:t xml:space="preserve"> teams. The central prerogative for such enterprises should </w:t>
      </w:r>
      <w:r w:rsidRPr="00A874CD" w:rsidR="008B3763">
        <w:rPr>
          <w:rFonts w:ascii="Times New Roman" w:hAnsi="Times New Roman" w:cs="Times New Roman"/>
        </w:rPr>
        <w:t>strategize</w:t>
      </w:r>
      <w:r w:rsidRPr="00A874CD" w:rsidR="00AF6597">
        <w:rPr>
          <w:rFonts w:ascii="Times New Roman" w:hAnsi="Times New Roman" w:cs="Times New Roman"/>
        </w:rPr>
        <w:t xml:space="preserve"> to include both forms of communications in an electronic hath recording </w:t>
      </w:r>
      <w:r w:rsidRPr="00A874CD" w:rsidR="008B3763">
        <w:rPr>
          <w:rFonts w:ascii="Times New Roman" w:hAnsi="Times New Roman" w:cs="Times New Roman"/>
        </w:rPr>
        <w:t>system</w:t>
      </w:r>
      <w:r w:rsidRPr="00A874CD" w:rsidR="00AF6597">
        <w:rPr>
          <w:rFonts w:ascii="Times New Roman" w:hAnsi="Times New Roman" w:cs="Times New Roman"/>
        </w:rPr>
        <w:t xml:space="preserve"> for both Eclypsis and Cerner. </w:t>
      </w:r>
      <w:r w:rsidRPr="00A874CD" w:rsidR="009B6BB4">
        <w:rPr>
          <w:rFonts w:ascii="Times New Roman" w:hAnsi="Times New Roman" w:cs="Times New Roman"/>
        </w:rPr>
        <w:t xml:space="preserve">An additional consideration is the healthcare survey. </w:t>
      </w:r>
      <w:r w:rsidRPr="00A874CD" w:rsidR="008B3763">
        <w:rPr>
          <w:rFonts w:ascii="Times New Roman" w:hAnsi="Times New Roman" w:cs="Times New Roman"/>
        </w:rPr>
        <w:t>Questionnaires</w:t>
      </w:r>
      <w:r w:rsidRPr="00A874CD" w:rsidR="009B6BB4">
        <w:rPr>
          <w:rFonts w:ascii="Times New Roman" w:hAnsi="Times New Roman" w:cs="Times New Roman"/>
        </w:rPr>
        <w:t xml:space="preserve"> and surveys provide an effective means for both organizations to </w:t>
      </w:r>
      <w:r w:rsidRPr="00A874CD" w:rsidR="008B3763">
        <w:rPr>
          <w:rFonts w:ascii="Times New Roman" w:hAnsi="Times New Roman" w:cs="Times New Roman"/>
        </w:rPr>
        <w:t>source</w:t>
      </w:r>
      <w:r w:rsidRPr="00A874CD" w:rsidR="009B6BB4">
        <w:rPr>
          <w:rFonts w:ascii="Times New Roman" w:hAnsi="Times New Roman" w:cs="Times New Roman"/>
        </w:rPr>
        <w:t xml:space="preserve"> </w:t>
      </w:r>
      <w:r w:rsidRPr="00A874CD" w:rsidR="008B3763">
        <w:rPr>
          <w:rFonts w:ascii="Times New Roman" w:hAnsi="Times New Roman" w:cs="Times New Roman"/>
        </w:rPr>
        <w:t>credible</w:t>
      </w:r>
      <w:r w:rsidRPr="00A874CD" w:rsidR="009B6BB4">
        <w:rPr>
          <w:rFonts w:ascii="Times New Roman" w:hAnsi="Times New Roman" w:cs="Times New Roman"/>
        </w:rPr>
        <w:t xml:space="preserve"> information about </w:t>
      </w:r>
      <w:r w:rsidRPr="00A874CD" w:rsidR="009B6BB4">
        <w:rPr>
          <w:rFonts w:ascii="Times New Roman" w:hAnsi="Times New Roman" w:cs="Times New Roman"/>
        </w:rPr>
        <w:t xml:space="preserve">disciplinary staff needs. The strategy adopted </w:t>
      </w:r>
      <w:r w:rsidRPr="00A874CD" w:rsidR="00A874CD">
        <w:rPr>
          <w:rFonts w:ascii="Times New Roman" w:hAnsi="Times New Roman" w:cs="Times New Roman"/>
        </w:rPr>
        <w:t>can also incorporate feedback from the staff about implementing an electronic health record system. 
</w:t>
      </w:r>
    </w:p>
    <w:p w:rsidR="009162D5" w:rsidRPr="00A874CD" w:rsidP="00A874CD">
      <w:pPr>
        <w:rPr>
          <w:rFonts w:ascii="Times New Roman" w:hAnsi="Times New Roman" w:cs="Times New Roman"/>
        </w:rPr>
      </w:pPr>
      <w:r w:rsidRPr="00A874CD">
        <w:rPr>
          <w:rFonts w:ascii="Times New Roman" w:hAnsi="Times New Roman" w:cs="Times New Roman"/>
        </w:rPr>
        <w:br w:type="page"/>
      </w:r>
    </w:p>
    <w:p w:rsidR="009162D5" w:rsidRPr="00A874CD" w:rsidP="00A874CD">
      <w:pPr>
        <w:ind w:firstLine="0"/>
        <w:jc w:val="center"/>
        <w:rPr>
          <w:rFonts w:ascii="Times New Roman" w:hAnsi="Times New Roman" w:cs="Times New Roman"/>
        </w:rPr>
      </w:pPr>
      <w:r w:rsidRPr="00A874CD">
        <w:rPr>
          <w:rFonts w:ascii="Times New Roman" w:hAnsi="Times New Roman" w:cs="Times New Roman"/>
        </w:rPr>
        <w:t>References</w:t>
      </w:r>
    </w:p>
    <w:p w:rsidR="009162D5" w:rsidRPr="00A874CD" w:rsidP="00A874CD">
      <w:pPr>
        <w:ind w:left="720" w:hanging="720"/>
        <w:rPr>
          <w:rFonts w:ascii="Times New Roman" w:hAnsi="Times New Roman" w:cs="Times New Roman"/>
          <w:color w:val="222222"/>
          <w:shd w:val="clear" w:color="auto" w:fill="FFFFFF"/>
        </w:rPr>
      </w:pPr>
      <w:r w:rsidRPr="00A874CD">
        <w:rPr>
          <w:rFonts w:ascii="Times New Roman" w:hAnsi="Times New Roman" w:cs="Times New Roman"/>
          <w:color w:val="222222"/>
          <w:shd w:val="clear" w:color="auto" w:fill="FFFFFF"/>
        </w:rPr>
        <w:t>Deering</w:t>
      </w:r>
      <w:r w:rsidRPr="00A874CD">
        <w:rPr>
          <w:rFonts w:ascii="Times New Roman" w:hAnsi="Times New Roman" w:cs="Times New Roman"/>
          <w:color w:val="222222"/>
          <w:shd w:val="clear" w:color="auto" w:fill="FFFFFF"/>
        </w:rPr>
        <w:t xml:space="preserve">, S., Johnston, L. C., &amp; </w:t>
      </w:r>
      <w:r w:rsidRPr="00A874CD">
        <w:rPr>
          <w:rFonts w:ascii="Times New Roman" w:hAnsi="Times New Roman" w:cs="Times New Roman"/>
          <w:color w:val="222222"/>
          <w:shd w:val="clear" w:color="auto" w:fill="FFFFFF"/>
        </w:rPr>
        <w:t>Colacchio</w:t>
      </w:r>
      <w:r w:rsidRPr="00A874CD">
        <w:rPr>
          <w:rFonts w:ascii="Times New Roman" w:hAnsi="Times New Roman" w:cs="Times New Roman"/>
          <w:color w:val="222222"/>
          <w:shd w:val="clear" w:color="auto" w:fill="FFFFFF"/>
        </w:rPr>
        <w:t>, K. (2011, April).</w:t>
      </w:r>
      <w:r w:rsidRPr="00A874CD">
        <w:rPr>
          <w:rFonts w:ascii="Times New Roman" w:hAnsi="Times New Roman" w:cs="Times New Roman"/>
          <w:color w:val="222222"/>
          <w:shd w:val="clear" w:color="auto" w:fill="FFFFFF"/>
        </w:rPr>
        <w:t xml:space="preserve"> </w:t>
      </w:r>
      <w:r w:rsidRPr="00A874CD">
        <w:rPr>
          <w:rFonts w:ascii="Times New Roman" w:hAnsi="Times New Roman" w:cs="Times New Roman"/>
          <w:color w:val="222222"/>
          <w:shd w:val="clear" w:color="auto" w:fill="FFFFFF"/>
        </w:rPr>
        <w:t>Multidisciplinary teamwork and communication training.</w:t>
      </w:r>
      <w:r w:rsidRPr="00A874CD">
        <w:rPr>
          <w:rFonts w:ascii="Times New Roman" w:hAnsi="Times New Roman" w:cs="Times New Roman"/>
          <w:color w:val="222222"/>
          <w:shd w:val="clear" w:color="auto" w:fill="FFFFFF"/>
        </w:rPr>
        <w:t xml:space="preserve"> </w:t>
      </w:r>
      <w:r w:rsidRPr="00A874CD">
        <w:rPr>
          <w:rFonts w:ascii="Times New Roman" w:hAnsi="Times New Roman" w:cs="Times New Roman"/>
          <w:color w:val="222222"/>
          <w:shd w:val="clear" w:color="auto" w:fill="FFFFFF"/>
        </w:rPr>
        <w:t>In </w:t>
      </w:r>
      <w:r w:rsidRPr="00A874CD">
        <w:rPr>
          <w:rFonts w:ascii="Times New Roman" w:hAnsi="Times New Roman" w:cs="Times New Roman"/>
          <w:i/>
          <w:iCs/>
          <w:color w:val="222222"/>
          <w:shd w:val="clear" w:color="auto" w:fill="FFFFFF"/>
        </w:rPr>
        <w:t xml:space="preserve">Seminars in </w:t>
      </w:r>
      <w:r w:rsidRPr="00A874CD">
        <w:rPr>
          <w:rFonts w:ascii="Times New Roman" w:hAnsi="Times New Roman" w:cs="Times New Roman"/>
          <w:i/>
          <w:iCs/>
          <w:color w:val="222222"/>
          <w:shd w:val="clear" w:color="auto" w:fill="FFFFFF"/>
        </w:rPr>
        <w:t>perinatology</w:t>
      </w:r>
      <w:r w:rsidRPr="00A874CD">
        <w:rPr>
          <w:rFonts w:ascii="Times New Roman" w:hAnsi="Times New Roman" w:cs="Times New Roman"/>
          <w:color w:val="222222"/>
          <w:shd w:val="clear" w:color="auto" w:fill="FFFFFF"/>
        </w:rPr>
        <w:t> (Vol. 35, No. 2, pp. 89-96).</w:t>
      </w:r>
      <w:r w:rsidRPr="00A874CD">
        <w:rPr>
          <w:rFonts w:ascii="Times New Roman" w:hAnsi="Times New Roman" w:cs="Times New Roman"/>
          <w:color w:val="222222"/>
          <w:shd w:val="clear" w:color="auto" w:fill="FFFFFF"/>
        </w:rPr>
        <w:t xml:space="preserve"> WB Saunders.</w:t>
      </w:r>
    </w:p>
    <w:p w:rsidR="00200D0D" w:rsidRPr="00A874CD" w:rsidP="00A874CD">
      <w:pPr>
        <w:ind w:left="720" w:hanging="720"/>
        <w:rPr>
          <w:rFonts w:ascii="Times New Roman" w:hAnsi="Times New Roman" w:cs="Times New Roman"/>
        </w:rPr>
      </w:pPr>
    </w:p>
    <w:sectPr w:rsidSect="00811E98">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81525297"/>
      <w:docPartObj>
        <w:docPartGallery w:val="Page Numbers (Top of Page)"/>
        <w:docPartUnique/>
      </w:docPartObj>
    </w:sdtPr>
    <w:sdtContent>
      <w:p w:rsidR="00200D0D" w:rsidRPr="001B00B9">
        <w:pPr>
          <w:pStyle w:val="Header"/>
          <w:jc w:val="right"/>
          <w:rPr>
            <w:rFonts w:ascii="Times New Roman" w:hAnsi="Times New Roman" w:cs="Times New Roman"/>
          </w:rPr>
        </w:pPr>
        <w:r w:rsidRPr="001B00B9">
          <w:rPr>
            <w:rFonts w:ascii="Times New Roman" w:hAnsi="Times New Roman" w:cs="Times New Roman"/>
          </w:rPr>
          <w:fldChar w:fldCharType="begin"/>
        </w:r>
        <w:r w:rsidRPr="001B00B9">
          <w:rPr>
            <w:rFonts w:ascii="Times New Roman" w:hAnsi="Times New Roman" w:cs="Times New Roman"/>
          </w:rPr>
          <w:instrText xml:space="preserve"> PAGE   \* MERGEFORMAT </w:instrText>
        </w:r>
        <w:r w:rsidRPr="001B00B9">
          <w:rPr>
            <w:rFonts w:ascii="Times New Roman" w:hAnsi="Times New Roman" w:cs="Times New Roman"/>
          </w:rPr>
          <w:fldChar w:fldCharType="separate"/>
        </w:r>
        <w:r w:rsidR="00A874CD">
          <w:rPr>
            <w:rFonts w:ascii="Times New Roman" w:hAnsi="Times New Roman" w:cs="Times New Roman"/>
            <w:noProof/>
          </w:rPr>
          <w:t>2</w:t>
        </w:r>
        <w:r w:rsidRPr="001B00B9">
          <w:rPr>
            <w:rFonts w:ascii="Times New Roman" w:hAnsi="Times New Roman" w:cs="Times New Roman"/>
          </w:rPr>
          <w:fldChar w:fldCharType="end"/>
        </w:r>
      </w:p>
    </w:sdtContent>
  </w:sdt>
  <w:p w:rsidR="00200D0D" w:rsidRPr="001B00B9">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4371B"/>
    <w:multiLevelType w:val="multilevel"/>
    <w:tmpl w:val="A110862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0D66E5"/>
    <w:rsid w:val="000D66E5"/>
    <w:rsid w:val="001B00B9"/>
    <w:rsid w:val="001F2C3A"/>
    <w:rsid w:val="00200D0D"/>
    <w:rsid w:val="003366A4"/>
    <w:rsid w:val="003F0F3E"/>
    <w:rsid w:val="005D41FC"/>
    <w:rsid w:val="00811E98"/>
    <w:rsid w:val="008B3763"/>
    <w:rsid w:val="009162D5"/>
    <w:rsid w:val="009B6BB4"/>
    <w:rsid w:val="00A042F4"/>
    <w:rsid w:val="00A874CD"/>
    <w:rsid w:val="00AF6597"/>
    <w:rsid w:val="00C54BCE"/>
  </w:rsids>
  <w:docVars>
    <w:docVar w:name="__Grammarly_42___1" w:val="H4sIAAAAAAAEAKtWcslP9kxRslIyNDYyMTcwM7IwsDQwMTEzNzJW0lEKTi0uzszPAykwqgUACp19Z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6E5"/>
    <w:pPr>
      <w:spacing w:after="0" w:line="480" w:lineRule="auto"/>
      <w:ind w:firstLine="720"/>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0B9"/>
    <w:pPr>
      <w:tabs>
        <w:tab w:val="center" w:pos="4680"/>
        <w:tab w:val="right" w:pos="9360"/>
      </w:tabs>
      <w:spacing w:line="240" w:lineRule="auto"/>
    </w:pPr>
  </w:style>
  <w:style w:type="character" w:customStyle="1" w:styleId="HeaderChar">
    <w:name w:val="Header Char"/>
    <w:basedOn w:val="DefaultParagraphFont"/>
    <w:link w:val="Header"/>
    <w:uiPriority w:val="99"/>
    <w:rsid w:val="001B00B9"/>
    <w:rPr>
      <w:rFonts w:eastAsiaTheme="minorEastAsia"/>
      <w:kern w:val="24"/>
      <w:sz w:val="24"/>
      <w:szCs w:val="24"/>
      <w:lang w:eastAsia="ja-JP"/>
    </w:rPr>
  </w:style>
  <w:style w:type="paragraph" w:styleId="Footer">
    <w:name w:val="footer"/>
    <w:basedOn w:val="Normal"/>
    <w:link w:val="FooterChar"/>
    <w:uiPriority w:val="99"/>
    <w:semiHidden/>
    <w:unhideWhenUsed/>
    <w:rsid w:val="001B00B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00B9"/>
    <w:rPr>
      <w:rFonts w:eastAsiaTheme="minorEastAsia"/>
      <w:kern w:val="24"/>
      <w:sz w:val="24"/>
      <w:szCs w:val="24"/>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2248379D-CF4D-4EDE-A4CF-4A621467F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2020-10-13T11:40:00Z</dcterms:created>
  <dcterms:modified xsi:type="dcterms:W3CDTF">2020-10-13T15:01:00Z</dcterms:modified>
</cp:coreProperties>
</file>