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F5654B" w14:textId="77777777" w:rsidR="00176C6E" w:rsidRPr="006C0769" w:rsidRDefault="00176C6E" w:rsidP="00947E3E">
      <w:pPr>
        <w:rPr>
          <w:rFonts w:cs="Times New Roman"/>
          <w:szCs w:val="24"/>
        </w:rPr>
      </w:pPr>
    </w:p>
    <w:p w14:paraId="653BDCD7" w14:textId="77777777" w:rsidR="00AF2DE5" w:rsidRPr="006C0769" w:rsidRDefault="00AF2DE5" w:rsidP="00947E3E">
      <w:pPr>
        <w:rPr>
          <w:rFonts w:cs="Times New Roman"/>
          <w:szCs w:val="24"/>
        </w:rPr>
      </w:pPr>
    </w:p>
    <w:p w14:paraId="449401D7" w14:textId="77777777" w:rsidR="00AF2DE5" w:rsidRPr="006C0769" w:rsidRDefault="00AF2DE5" w:rsidP="00947E3E">
      <w:pPr>
        <w:rPr>
          <w:rFonts w:cs="Times New Roman"/>
          <w:szCs w:val="24"/>
        </w:rPr>
      </w:pPr>
    </w:p>
    <w:p w14:paraId="7D1777DC" w14:textId="77777777" w:rsidR="00AF2DE5" w:rsidRPr="006C0769" w:rsidRDefault="00AF2DE5" w:rsidP="00947E3E">
      <w:pPr>
        <w:rPr>
          <w:rFonts w:cs="Times New Roman"/>
          <w:szCs w:val="24"/>
        </w:rPr>
      </w:pPr>
    </w:p>
    <w:p w14:paraId="085E1C33" w14:textId="36269361" w:rsidR="00AF2DE5" w:rsidRPr="006C0769" w:rsidRDefault="00AF2DE5" w:rsidP="00947E3E">
      <w:pPr>
        <w:rPr>
          <w:rFonts w:cs="Times New Roman"/>
          <w:szCs w:val="24"/>
        </w:rPr>
      </w:pPr>
    </w:p>
    <w:p w14:paraId="00F0B7F3" w14:textId="77777777" w:rsidR="00AF2DE5" w:rsidRPr="006C0769" w:rsidRDefault="00AF2DE5" w:rsidP="00947E3E">
      <w:pPr>
        <w:rPr>
          <w:rFonts w:cs="Times New Roman"/>
          <w:szCs w:val="24"/>
        </w:rPr>
      </w:pPr>
    </w:p>
    <w:p w14:paraId="1D6C8BF3" w14:textId="77777777" w:rsidR="008E085B" w:rsidRPr="006C0769" w:rsidRDefault="008E085B" w:rsidP="008E085B">
      <w:pPr>
        <w:spacing w:after="0" w:line="480" w:lineRule="auto"/>
        <w:jc w:val="center"/>
        <w:rPr>
          <w:rFonts w:cs="Times New Roman"/>
          <w:szCs w:val="24"/>
        </w:rPr>
      </w:pPr>
    </w:p>
    <w:p w14:paraId="68419E53" w14:textId="77777777" w:rsidR="008E085B" w:rsidRPr="006C0769" w:rsidRDefault="008E085B" w:rsidP="008E085B">
      <w:pPr>
        <w:spacing w:after="0" w:line="480" w:lineRule="auto"/>
        <w:jc w:val="center"/>
        <w:rPr>
          <w:rFonts w:cs="Times New Roman"/>
          <w:szCs w:val="24"/>
        </w:rPr>
      </w:pPr>
    </w:p>
    <w:p w14:paraId="3863C712" w14:textId="77777777" w:rsidR="008E085B" w:rsidRPr="006C0769" w:rsidRDefault="008E085B" w:rsidP="008E085B">
      <w:pPr>
        <w:spacing w:after="0" w:line="480" w:lineRule="auto"/>
        <w:jc w:val="center"/>
        <w:rPr>
          <w:rFonts w:cs="Times New Roman"/>
          <w:szCs w:val="24"/>
        </w:rPr>
      </w:pPr>
    </w:p>
    <w:p w14:paraId="66D8CD1C" w14:textId="77777777" w:rsidR="008E085B" w:rsidRPr="006C0769" w:rsidRDefault="008E085B" w:rsidP="008E085B">
      <w:pPr>
        <w:spacing w:after="0" w:line="480" w:lineRule="auto"/>
        <w:jc w:val="center"/>
        <w:rPr>
          <w:rFonts w:cs="Times New Roman"/>
          <w:szCs w:val="24"/>
        </w:rPr>
      </w:pPr>
      <w:r w:rsidRPr="006C0769">
        <w:rPr>
          <w:rFonts w:cs="Times New Roman"/>
          <w:szCs w:val="24"/>
        </w:rPr>
        <w:t>Corporate Finance Assignment</w:t>
      </w:r>
    </w:p>
    <w:p w14:paraId="2641A7A1" w14:textId="77777777" w:rsidR="008E085B" w:rsidRPr="006C0769" w:rsidRDefault="008E085B" w:rsidP="008E085B">
      <w:pPr>
        <w:spacing w:after="0" w:line="480" w:lineRule="auto"/>
        <w:jc w:val="center"/>
        <w:rPr>
          <w:rFonts w:cs="Times New Roman"/>
          <w:szCs w:val="24"/>
        </w:rPr>
      </w:pPr>
      <w:r w:rsidRPr="006C0769">
        <w:rPr>
          <w:rFonts w:cs="Times New Roman"/>
          <w:szCs w:val="24"/>
        </w:rPr>
        <w:t>Student’s Name</w:t>
      </w:r>
    </w:p>
    <w:p w14:paraId="3FC89A03" w14:textId="77777777" w:rsidR="008E085B" w:rsidRPr="006C0769" w:rsidRDefault="008E085B" w:rsidP="008E085B">
      <w:pPr>
        <w:spacing w:after="0" w:line="480" w:lineRule="auto"/>
        <w:jc w:val="center"/>
        <w:rPr>
          <w:rFonts w:cs="Times New Roman"/>
          <w:szCs w:val="24"/>
        </w:rPr>
      </w:pPr>
      <w:r w:rsidRPr="006C0769">
        <w:rPr>
          <w:rFonts w:cs="Times New Roman"/>
          <w:szCs w:val="24"/>
        </w:rPr>
        <w:t>Institutional Affiliation</w:t>
      </w:r>
    </w:p>
    <w:p w14:paraId="0DC94CB8" w14:textId="77777777" w:rsidR="008E085B" w:rsidRPr="006C0769" w:rsidRDefault="008E085B">
      <w:pPr>
        <w:rPr>
          <w:rFonts w:cs="Times New Roman"/>
          <w:szCs w:val="24"/>
        </w:rPr>
      </w:pPr>
      <w:r w:rsidRPr="006C0769">
        <w:rPr>
          <w:rFonts w:cs="Times New Roman"/>
          <w:szCs w:val="24"/>
        </w:rPr>
        <w:br w:type="page"/>
      </w:r>
    </w:p>
    <w:p w14:paraId="4298696A" w14:textId="44D5AC15" w:rsidR="000D0D1D" w:rsidRDefault="000D0D1D" w:rsidP="000D0D1D">
      <w:pPr>
        <w:rPr>
          <w:rFonts w:cs="Times New Roman"/>
          <w:b/>
          <w:szCs w:val="24"/>
        </w:rPr>
      </w:pPr>
      <w:r>
        <w:rPr>
          <w:rFonts w:ascii="Helvetica Neue" w:hAnsi="Helvetica Neue"/>
          <w:color w:val="1D1D1D"/>
          <w:sz w:val="21"/>
          <w:szCs w:val="21"/>
          <w:shd w:val="clear" w:color="auto" w:fill="FFFFFF"/>
        </w:rPr>
        <w:lastRenderedPageBreak/>
        <w:t>Part II-C 1</w:t>
      </w:r>
    </w:p>
    <w:p w14:paraId="7E90EA55" w14:textId="403B6B83" w:rsidR="00176C6E" w:rsidRPr="006C0769" w:rsidRDefault="008E085B" w:rsidP="008E085B">
      <w:pPr>
        <w:jc w:val="center"/>
        <w:rPr>
          <w:rFonts w:cs="Times New Roman"/>
          <w:b/>
          <w:szCs w:val="24"/>
        </w:rPr>
      </w:pPr>
      <w:r w:rsidRPr="006C0769">
        <w:rPr>
          <w:rFonts w:cs="Times New Roman"/>
          <w:b/>
          <w:szCs w:val="24"/>
        </w:rPr>
        <w:t>Treasury</w:t>
      </w:r>
      <w:r w:rsidR="00F86F4A" w:rsidRPr="006C0769">
        <w:rPr>
          <w:rFonts w:cs="Times New Roman"/>
          <w:b/>
          <w:szCs w:val="24"/>
        </w:rPr>
        <w:t xml:space="preserve"> Rate Analysis</w:t>
      </w:r>
    </w:p>
    <w:p w14:paraId="187AC7A0" w14:textId="77777777" w:rsidR="00176C6E" w:rsidRPr="006C0769" w:rsidRDefault="00176C6E" w:rsidP="00947E3E">
      <w:pPr>
        <w:rPr>
          <w:rFonts w:cs="Times New Roman"/>
          <w:szCs w:val="24"/>
        </w:rPr>
      </w:pPr>
      <w:r w:rsidRPr="006C0769">
        <w:rPr>
          <w:rFonts w:cs="Times New Roman"/>
          <w:noProof/>
          <w:szCs w:val="24"/>
        </w:rPr>
        <w:drawing>
          <wp:inline distT="0" distB="0" distL="0" distR="0" wp14:anchorId="43B4FBEF" wp14:editId="1131CA15">
            <wp:extent cx="5943600" cy="3735977"/>
            <wp:effectExtent l="0" t="0" r="0" b="0"/>
            <wp:docPr id="7" name="Picture 7" descr="C:\Users\LENOVO\Downloads\fredgrap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ENOVO\Downloads\fredgraph.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735977"/>
                    </a:xfrm>
                    <a:prstGeom prst="rect">
                      <a:avLst/>
                    </a:prstGeom>
                    <a:noFill/>
                    <a:ln>
                      <a:noFill/>
                    </a:ln>
                  </pic:spPr>
                </pic:pic>
              </a:graphicData>
            </a:graphic>
          </wp:inline>
        </w:drawing>
      </w:r>
    </w:p>
    <w:p w14:paraId="39490BA2" w14:textId="5A3A4B9F" w:rsidR="00176C6E" w:rsidRDefault="0050302B" w:rsidP="00BF552C">
      <w:pPr>
        <w:spacing w:after="0" w:line="480" w:lineRule="auto"/>
        <w:jc w:val="both"/>
        <w:rPr>
          <w:rFonts w:cs="Times New Roman"/>
          <w:szCs w:val="24"/>
        </w:rPr>
      </w:pPr>
      <w:r w:rsidRPr="006C0769">
        <w:rPr>
          <w:rFonts w:cs="Times New Roman"/>
          <w:szCs w:val="24"/>
        </w:rPr>
        <w:t xml:space="preserve">The ratios are found to be </w:t>
      </w:r>
      <w:r w:rsidR="00527D02" w:rsidRPr="006C0769">
        <w:rPr>
          <w:rFonts w:cs="Times New Roman"/>
          <w:szCs w:val="24"/>
        </w:rPr>
        <w:t>steady.</w:t>
      </w:r>
      <w:r w:rsidRPr="006C0769">
        <w:rPr>
          <w:rFonts w:cs="Times New Roman"/>
          <w:szCs w:val="24"/>
        </w:rPr>
        <w:t xml:space="preserve"> This is so because the inflation rate was almost constant throughout the period.</w:t>
      </w:r>
    </w:p>
    <w:p w14:paraId="0974022F" w14:textId="06C4ADD8" w:rsidR="000D0D1D" w:rsidRPr="000D0D1D" w:rsidRDefault="000D0D1D" w:rsidP="00BF552C">
      <w:pPr>
        <w:spacing w:after="0" w:line="480" w:lineRule="auto"/>
        <w:jc w:val="both"/>
        <w:rPr>
          <w:rFonts w:cs="Times New Roman"/>
          <w:b/>
          <w:szCs w:val="24"/>
        </w:rPr>
      </w:pPr>
      <w:r w:rsidRPr="000D0D1D">
        <w:rPr>
          <w:rFonts w:cs="Times New Roman"/>
          <w:b/>
          <w:szCs w:val="24"/>
        </w:rPr>
        <w:t>Question 2</w:t>
      </w:r>
    </w:p>
    <w:p w14:paraId="42501CC5" w14:textId="77777777" w:rsidR="00947E3E" w:rsidRPr="006C0769" w:rsidRDefault="00947E3E" w:rsidP="00BF552C">
      <w:pPr>
        <w:spacing w:after="0" w:line="480" w:lineRule="auto"/>
        <w:ind w:firstLine="720"/>
        <w:jc w:val="both"/>
        <w:rPr>
          <w:rFonts w:cs="Times New Roman"/>
          <w:szCs w:val="24"/>
        </w:rPr>
      </w:pPr>
      <w:r w:rsidRPr="006C0769">
        <w:rPr>
          <w:rFonts w:cs="Times New Roman"/>
          <w:szCs w:val="24"/>
        </w:rPr>
        <w:t xml:space="preserve">From the data it can be seen that </w:t>
      </w:r>
      <w:r w:rsidR="00983AD8" w:rsidRPr="006C0769">
        <w:rPr>
          <w:rFonts w:cs="Times New Roman"/>
          <w:szCs w:val="24"/>
        </w:rPr>
        <w:t xml:space="preserve">convectional bonds have a higher interest rate as compared to the inflation indexed bonds. The convectional bond interest rates range from 2.42 to highest of 4.76 while that of inflation indexed bonds’ rate entirely revolving from 1.0 to 2.89. Inflation indexed bonds attract lower interest rates because they are inflation risk free as opposed to the convectional bonds. </w:t>
      </w:r>
    </w:p>
    <w:p w14:paraId="166C8005" w14:textId="77777777" w:rsidR="00947E3E" w:rsidRPr="006C0769" w:rsidRDefault="00201743" w:rsidP="00BF552C">
      <w:pPr>
        <w:spacing w:after="0" w:line="480" w:lineRule="auto"/>
        <w:ind w:firstLine="720"/>
        <w:jc w:val="both"/>
        <w:rPr>
          <w:rFonts w:cs="Times New Roman"/>
          <w:szCs w:val="24"/>
        </w:rPr>
      </w:pPr>
      <w:r w:rsidRPr="006C0769">
        <w:rPr>
          <w:rFonts w:cs="Times New Roman"/>
          <w:szCs w:val="24"/>
        </w:rPr>
        <w:t xml:space="preserve">In convectional bonds inflation rates are expected to change and this makes the bonds attract higher interest rates. Inflation indexed bond takes into consideration the future inflation rate as it is expected not to change and therefore attracts lower interest rates.  </w:t>
      </w:r>
    </w:p>
    <w:p w14:paraId="5B77FA1C" w14:textId="0227108A" w:rsidR="00947E3E" w:rsidRPr="006C0769" w:rsidRDefault="00947E3E" w:rsidP="00BF552C">
      <w:pPr>
        <w:spacing w:after="0" w:line="480" w:lineRule="auto"/>
        <w:ind w:firstLine="720"/>
        <w:jc w:val="both"/>
        <w:rPr>
          <w:rFonts w:cs="Times New Roman"/>
          <w:szCs w:val="24"/>
        </w:rPr>
      </w:pPr>
      <w:r w:rsidRPr="006C0769">
        <w:rPr>
          <w:rFonts w:cs="Times New Roman"/>
          <w:szCs w:val="24"/>
        </w:rPr>
        <w:lastRenderedPageBreak/>
        <w:t xml:space="preserve">Convectional bond are those bonds that have fixed dollar payments of interest and principal. </w:t>
      </w:r>
      <w:r w:rsidR="0024600F" w:rsidRPr="006C0769">
        <w:rPr>
          <w:rFonts w:cs="Times New Roman"/>
          <w:szCs w:val="24"/>
        </w:rPr>
        <w:t>However,</w:t>
      </w:r>
      <w:r w:rsidRPr="006C0769">
        <w:rPr>
          <w:rFonts w:cs="Times New Roman"/>
          <w:szCs w:val="24"/>
        </w:rPr>
        <w:t xml:space="preserve"> at time of issuance of the bond the real value of dollar payments </w:t>
      </w:r>
      <w:r w:rsidR="0024600F" w:rsidRPr="006C0769">
        <w:rPr>
          <w:rFonts w:cs="Times New Roman"/>
          <w:szCs w:val="24"/>
        </w:rPr>
        <w:t>is</w:t>
      </w:r>
      <w:r w:rsidRPr="006C0769">
        <w:rPr>
          <w:rFonts w:cs="Times New Roman"/>
          <w:szCs w:val="24"/>
        </w:rPr>
        <w:t xml:space="preserve"> non-known simply because future inflation rate is not known. This means that both the issuer and the buyer by inflation risk that affects the purchasing power of the bond. The inflation risk either boosts or erodes the bond’s purchasing power</w:t>
      </w:r>
      <w:r w:rsidR="0024600F">
        <w:rPr>
          <w:rFonts w:cs="Times New Roman"/>
          <w:szCs w:val="24"/>
        </w:rPr>
        <w:t xml:space="preserve"> (</w:t>
      </w:r>
      <w:proofErr w:type="spellStart"/>
      <w:r w:rsidR="0024600F" w:rsidRPr="006C0769">
        <w:rPr>
          <w:rFonts w:cs="Times New Roman"/>
          <w:szCs w:val="24"/>
          <w:shd w:val="clear" w:color="auto" w:fill="FFFFFF"/>
        </w:rPr>
        <w:t>Haga</w:t>
      </w:r>
      <w:proofErr w:type="spellEnd"/>
      <w:r w:rsidR="0024600F" w:rsidRPr="006C0769">
        <w:rPr>
          <w:rFonts w:cs="Times New Roman"/>
          <w:szCs w:val="24"/>
          <w:shd w:val="clear" w:color="auto" w:fill="FFFFFF"/>
        </w:rPr>
        <w:t>, 2012)</w:t>
      </w:r>
      <w:r w:rsidRPr="006C0769">
        <w:rPr>
          <w:rFonts w:cs="Times New Roman"/>
          <w:szCs w:val="24"/>
        </w:rPr>
        <w:t>.</w:t>
      </w:r>
    </w:p>
    <w:p w14:paraId="24C2EA27" w14:textId="4A87AAD5" w:rsidR="00947E3E" w:rsidRDefault="00947E3E" w:rsidP="008B51D3">
      <w:pPr>
        <w:spacing w:after="0" w:line="480" w:lineRule="auto"/>
        <w:ind w:firstLine="720"/>
        <w:jc w:val="both"/>
        <w:rPr>
          <w:rFonts w:cs="Times New Roman"/>
          <w:szCs w:val="24"/>
        </w:rPr>
      </w:pPr>
      <w:r w:rsidRPr="006C0769">
        <w:rPr>
          <w:rFonts w:cs="Times New Roman"/>
          <w:szCs w:val="24"/>
        </w:rPr>
        <w:t>Inflation –indexed bonds real rate of return is calculated in advance. Here the nominal returns depend on the bonds’ life inflation rate. In this type of bond both the buyer and issuer do not face the inflation risk.</w:t>
      </w:r>
    </w:p>
    <w:p w14:paraId="51B17BAE" w14:textId="42CC86EB" w:rsidR="008B51D3" w:rsidRPr="001331F1" w:rsidRDefault="008B51D3" w:rsidP="008B51D3">
      <w:pPr>
        <w:spacing w:after="0" w:line="480" w:lineRule="auto"/>
        <w:jc w:val="both"/>
        <w:rPr>
          <w:rFonts w:cs="Times New Roman"/>
          <w:b/>
          <w:szCs w:val="24"/>
        </w:rPr>
      </w:pPr>
      <w:r w:rsidRPr="001331F1">
        <w:rPr>
          <w:rFonts w:cs="Times New Roman"/>
          <w:b/>
          <w:color w:val="1D1D1D"/>
          <w:szCs w:val="24"/>
          <w:shd w:val="clear" w:color="auto" w:fill="FFFFFF"/>
        </w:rPr>
        <w:t>Part III:</w:t>
      </w:r>
    </w:p>
    <w:p w14:paraId="649D95CF" w14:textId="77777777" w:rsidR="00D93359" w:rsidRPr="006C0769" w:rsidRDefault="00D93359" w:rsidP="00BF552C">
      <w:pPr>
        <w:spacing w:after="0" w:line="480" w:lineRule="auto"/>
        <w:jc w:val="center"/>
        <w:rPr>
          <w:rFonts w:cs="Times New Roman"/>
          <w:b/>
          <w:szCs w:val="24"/>
        </w:rPr>
      </w:pPr>
      <w:r w:rsidRPr="006C0769">
        <w:rPr>
          <w:rFonts w:cs="Times New Roman"/>
          <w:b/>
          <w:szCs w:val="24"/>
        </w:rPr>
        <w:t>Demand and supply in the bond market</w:t>
      </w:r>
    </w:p>
    <w:p w14:paraId="0C891685" w14:textId="77777777" w:rsidR="00D93359" w:rsidRPr="006C0769" w:rsidRDefault="00D93359" w:rsidP="00BF552C">
      <w:pPr>
        <w:spacing w:after="0" w:line="480" w:lineRule="auto"/>
        <w:jc w:val="both"/>
        <w:rPr>
          <w:rFonts w:cs="Times New Roman"/>
          <w:szCs w:val="24"/>
        </w:rPr>
      </w:pPr>
      <w:r w:rsidRPr="006C0769">
        <w:rPr>
          <w:rFonts w:cs="Times New Roman"/>
          <w:szCs w:val="24"/>
        </w:rPr>
        <w:t>Demand and supply are most basic factors determining the prices for bonds and other financial assets.</w:t>
      </w:r>
    </w:p>
    <w:p w14:paraId="0231AA83" w14:textId="77777777" w:rsidR="00D93359" w:rsidRPr="006C0769" w:rsidRDefault="00D93359" w:rsidP="00BF552C">
      <w:pPr>
        <w:spacing w:after="0" w:line="480" w:lineRule="auto"/>
        <w:jc w:val="center"/>
        <w:rPr>
          <w:rFonts w:cs="Times New Roman"/>
          <w:b/>
          <w:szCs w:val="24"/>
        </w:rPr>
      </w:pPr>
      <w:r w:rsidRPr="006C0769">
        <w:rPr>
          <w:rFonts w:cs="Times New Roman"/>
          <w:b/>
          <w:szCs w:val="24"/>
        </w:rPr>
        <w:t>Demand of bonds</w:t>
      </w:r>
    </w:p>
    <w:p w14:paraId="46670DED" w14:textId="15C1DB5A" w:rsidR="00D93359" w:rsidRPr="006C0769" w:rsidRDefault="00384966" w:rsidP="00BF552C">
      <w:pPr>
        <w:spacing w:after="0" w:line="480" w:lineRule="auto"/>
        <w:ind w:firstLine="720"/>
        <w:jc w:val="both"/>
        <w:rPr>
          <w:rFonts w:cs="Times New Roman"/>
          <w:szCs w:val="24"/>
        </w:rPr>
      </w:pPr>
      <w:r w:rsidRPr="006C0769">
        <w:rPr>
          <w:rFonts w:cs="Times New Roman"/>
          <w:szCs w:val="24"/>
        </w:rPr>
        <w:t>The demand curve for bond shifts with changes in wealth, expected returns, inflation risks and liquidity. Wealth mainly sets the general level of demand in th</w:t>
      </w:r>
      <w:r w:rsidR="009F1D96" w:rsidRPr="006C0769">
        <w:rPr>
          <w:rFonts w:cs="Times New Roman"/>
          <w:szCs w:val="24"/>
        </w:rPr>
        <w:t>e bond market</w:t>
      </w:r>
      <w:r w:rsidR="006C0769">
        <w:rPr>
          <w:rFonts w:cs="Times New Roman"/>
          <w:szCs w:val="24"/>
        </w:rPr>
        <w:t xml:space="preserve"> (</w:t>
      </w:r>
      <w:proofErr w:type="spellStart"/>
      <w:r w:rsidR="006C0769" w:rsidRPr="006C0769">
        <w:rPr>
          <w:rFonts w:cs="Times New Roman"/>
          <w:szCs w:val="24"/>
          <w:shd w:val="clear" w:color="auto" w:fill="FFFFFF"/>
        </w:rPr>
        <w:t>Haga</w:t>
      </w:r>
      <w:proofErr w:type="spellEnd"/>
      <w:r w:rsidR="006C0769" w:rsidRPr="006C0769">
        <w:rPr>
          <w:rFonts w:cs="Times New Roman"/>
          <w:szCs w:val="24"/>
          <w:shd w:val="clear" w:color="auto" w:fill="FFFFFF"/>
        </w:rPr>
        <w:t>, 2012)</w:t>
      </w:r>
      <w:r w:rsidR="009F1D96" w:rsidRPr="006C0769">
        <w:rPr>
          <w:rFonts w:cs="Times New Roman"/>
          <w:szCs w:val="24"/>
        </w:rPr>
        <w:t xml:space="preserve">. </w:t>
      </w:r>
      <w:r w:rsidRPr="006C0769">
        <w:rPr>
          <w:rFonts w:cs="Times New Roman"/>
          <w:szCs w:val="24"/>
        </w:rPr>
        <w:t xml:space="preserve">Wealth is directly related to the demand of the bond, an increase in wealth leads to an increase in demand of bond. This increase results a shift of the demand curve outside. </w:t>
      </w:r>
      <w:r w:rsidR="009F1D96" w:rsidRPr="006C0769">
        <w:rPr>
          <w:rFonts w:cs="Times New Roman"/>
          <w:szCs w:val="24"/>
        </w:rPr>
        <w:t xml:space="preserve">Increase in prices of bond leads to </w:t>
      </w:r>
      <w:proofErr w:type="spellStart"/>
      <w:r w:rsidR="009F1D96" w:rsidRPr="006C0769">
        <w:rPr>
          <w:rFonts w:cs="Times New Roman"/>
          <w:szCs w:val="24"/>
        </w:rPr>
        <w:t>s</w:t>
      </w:r>
      <w:proofErr w:type="spellEnd"/>
      <w:r w:rsidR="009F1D96" w:rsidRPr="006C0769">
        <w:rPr>
          <w:rFonts w:cs="Times New Roman"/>
          <w:szCs w:val="24"/>
        </w:rPr>
        <w:t xml:space="preserve"> decrease in quantity demanded and vice versa. Increase in price today, the yield to maturity and expected rate of returns decreases</w:t>
      </w:r>
      <w:r w:rsidR="004F3938">
        <w:rPr>
          <w:rFonts w:cs="Times New Roman"/>
          <w:szCs w:val="24"/>
        </w:rPr>
        <w:t xml:space="preserve"> (</w:t>
      </w:r>
      <w:r w:rsidR="004F3938" w:rsidRPr="006C0769">
        <w:rPr>
          <w:rFonts w:cs="Times New Roman"/>
          <w:szCs w:val="24"/>
          <w:shd w:val="clear" w:color="auto" w:fill="FFFFFF"/>
        </w:rPr>
        <w:t>Tucker</w:t>
      </w:r>
      <w:r w:rsidR="004F3938">
        <w:rPr>
          <w:rFonts w:cs="Times New Roman"/>
          <w:szCs w:val="24"/>
          <w:shd w:val="clear" w:color="auto" w:fill="FFFFFF"/>
        </w:rPr>
        <w:t xml:space="preserve">, </w:t>
      </w:r>
      <w:r w:rsidR="004F3938" w:rsidRPr="006C0769">
        <w:rPr>
          <w:rFonts w:cs="Times New Roman"/>
          <w:szCs w:val="24"/>
          <w:shd w:val="clear" w:color="auto" w:fill="FFFFFF"/>
        </w:rPr>
        <w:t>2014)</w:t>
      </w:r>
      <w:r w:rsidR="009F1D96" w:rsidRPr="006C0769">
        <w:rPr>
          <w:rFonts w:cs="Times New Roman"/>
          <w:szCs w:val="24"/>
        </w:rPr>
        <w:t xml:space="preserve">. Decrease in yield to maturity and expected rate of return promotes buyers from demanding less. </w:t>
      </w:r>
    </w:p>
    <w:p w14:paraId="7A8E08A0" w14:textId="77777777" w:rsidR="00C17F70" w:rsidRPr="006C0769" w:rsidRDefault="00C17F70" w:rsidP="00BF552C">
      <w:pPr>
        <w:spacing w:line="480" w:lineRule="auto"/>
        <w:rPr>
          <w:rFonts w:cs="Times New Roman"/>
          <w:szCs w:val="24"/>
        </w:rPr>
      </w:pPr>
      <w:r w:rsidRPr="006C0769">
        <w:rPr>
          <w:rFonts w:cs="Times New Roman"/>
          <w:noProof/>
          <w:szCs w:val="24"/>
        </w:rPr>
        <w:lastRenderedPageBreak/>
        <w:drawing>
          <wp:inline distT="0" distB="0" distL="0" distR="0" wp14:anchorId="3E223B54" wp14:editId="424AEC18">
            <wp:extent cx="2619375" cy="2333625"/>
            <wp:effectExtent l="0" t="0" r="9525" b="9525"/>
            <wp:docPr id="2" name="Picture 2" descr="The demand curve shif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demand curve shift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19375" cy="2333625"/>
                    </a:xfrm>
                    <a:prstGeom prst="rect">
                      <a:avLst/>
                    </a:prstGeom>
                    <a:noFill/>
                    <a:ln>
                      <a:noFill/>
                    </a:ln>
                  </pic:spPr>
                </pic:pic>
              </a:graphicData>
            </a:graphic>
          </wp:inline>
        </w:drawing>
      </w:r>
    </w:p>
    <w:p w14:paraId="35EDD691" w14:textId="77777777" w:rsidR="00C17F70" w:rsidRPr="006C0769" w:rsidRDefault="00176C6E" w:rsidP="00BF552C">
      <w:pPr>
        <w:spacing w:after="0" w:line="480" w:lineRule="auto"/>
        <w:rPr>
          <w:rFonts w:cs="Times New Roman"/>
          <w:i/>
          <w:szCs w:val="24"/>
        </w:rPr>
      </w:pPr>
      <w:r w:rsidRPr="006C0769">
        <w:rPr>
          <w:rFonts w:cs="Times New Roman"/>
          <w:i/>
          <w:szCs w:val="24"/>
        </w:rPr>
        <w:t>Increase in demand of bonds</w:t>
      </w:r>
    </w:p>
    <w:p w14:paraId="004D36A5" w14:textId="77777777" w:rsidR="00C17F70" w:rsidRPr="006C0769" w:rsidRDefault="00176C6E" w:rsidP="00BF552C">
      <w:pPr>
        <w:spacing w:line="480" w:lineRule="auto"/>
        <w:rPr>
          <w:rFonts w:cs="Times New Roman"/>
          <w:szCs w:val="24"/>
        </w:rPr>
      </w:pPr>
      <w:r w:rsidRPr="006C0769">
        <w:rPr>
          <w:rFonts w:cs="Times New Roman"/>
          <w:noProof/>
          <w:szCs w:val="24"/>
        </w:rPr>
        <w:drawing>
          <wp:inline distT="0" distB="0" distL="0" distR="0" wp14:anchorId="4F5021BF" wp14:editId="502B6BBC">
            <wp:extent cx="2619375" cy="2333625"/>
            <wp:effectExtent l="0" t="0" r="9525" b="9525"/>
            <wp:docPr id="3" name="Picture 3" descr="The demand increases for bo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demand increases for bond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19375" cy="2333625"/>
                    </a:xfrm>
                    <a:prstGeom prst="rect">
                      <a:avLst/>
                    </a:prstGeom>
                    <a:noFill/>
                    <a:ln>
                      <a:noFill/>
                    </a:ln>
                  </pic:spPr>
                </pic:pic>
              </a:graphicData>
            </a:graphic>
          </wp:inline>
        </w:drawing>
      </w:r>
    </w:p>
    <w:p w14:paraId="2D3613BC" w14:textId="77777777" w:rsidR="009F1D96" w:rsidRPr="006C0769" w:rsidRDefault="009F1D96" w:rsidP="00BF552C">
      <w:pPr>
        <w:spacing w:after="0" w:line="480" w:lineRule="auto"/>
        <w:jc w:val="both"/>
        <w:rPr>
          <w:rFonts w:cs="Times New Roman"/>
          <w:i/>
          <w:szCs w:val="24"/>
        </w:rPr>
      </w:pPr>
      <w:r w:rsidRPr="006C0769">
        <w:rPr>
          <w:rFonts w:cs="Times New Roman"/>
          <w:i/>
          <w:szCs w:val="24"/>
        </w:rPr>
        <w:t>Supply of bonds</w:t>
      </w:r>
    </w:p>
    <w:p w14:paraId="0E9FEB31" w14:textId="5BEF24A7" w:rsidR="009F1D96" w:rsidRPr="006C0769" w:rsidRDefault="009F1D96" w:rsidP="00BF552C">
      <w:pPr>
        <w:spacing w:after="0" w:line="480" w:lineRule="auto"/>
        <w:ind w:firstLine="720"/>
        <w:jc w:val="both"/>
        <w:rPr>
          <w:rFonts w:cs="Times New Roman"/>
          <w:szCs w:val="24"/>
        </w:rPr>
      </w:pPr>
      <w:r w:rsidRPr="006C0769">
        <w:rPr>
          <w:rFonts w:cs="Times New Roman"/>
          <w:szCs w:val="24"/>
        </w:rPr>
        <w:t>Supply curve shift due to changes in expected inflation, government budget</w:t>
      </w:r>
      <w:r w:rsidR="00C04C54" w:rsidRPr="006C0769">
        <w:rPr>
          <w:rFonts w:cs="Times New Roman"/>
          <w:szCs w:val="24"/>
        </w:rPr>
        <w:t xml:space="preserve"> and business conditions. Increase in expected inflation rate causes increase in quantity supplied and this makes the supply curve to shift to the right</w:t>
      </w:r>
      <w:r w:rsidR="006C0769">
        <w:rPr>
          <w:rFonts w:cs="Times New Roman"/>
          <w:szCs w:val="24"/>
        </w:rPr>
        <w:t xml:space="preserve"> (</w:t>
      </w:r>
      <w:proofErr w:type="spellStart"/>
      <w:r w:rsidR="006C0769" w:rsidRPr="006C0769">
        <w:rPr>
          <w:rFonts w:cs="Times New Roman"/>
          <w:szCs w:val="24"/>
          <w:shd w:val="clear" w:color="auto" w:fill="FFFFFF"/>
        </w:rPr>
        <w:t>Haga</w:t>
      </w:r>
      <w:proofErr w:type="spellEnd"/>
      <w:r w:rsidR="006C0769" w:rsidRPr="006C0769">
        <w:rPr>
          <w:rFonts w:cs="Times New Roman"/>
          <w:szCs w:val="24"/>
          <w:shd w:val="clear" w:color="auto" w:fill="FFFFFF"/>
        </w:rPr>
        <w:t>, 2012)</w:t>
      </w:r>
      <w:r w:rsidR="00C04C54" w:rsidRPr="006C0769">
        <w:rPr>
          <w:rFonts w:cs="Times New Roman"/>
          <w:szCs w:val="24"/>
        </w:rPr>
        <w:t xml:space="preserve">. Government budget with a surplus causes a decrease in quantity supplied shifting the supply curve to the left. When the general conditions of a business are good supply increases shifting the supply curve to the right.  </w:t>
      </w:r>
    </w:p>
    <w:p w14:paraId="280E7B23" w14:textId="77777777" w:rsidR="00176C6E" w:rsidRPr="006C0769" w:rsidRDefault="00176C6E" w:rsidP="00BF552C">
      <w:pPr>
        <w:spacing w:after="0" w:line="480" w:lineRule="auto"/>
        <w:jc w:val="both"/>
        <w:rPr>
          <w:rFonts w:cs="Times New Roman"/>
          <w:szCs w:val="24"/>
        </w:rPr>
      </w:pPr>
      <w:r w:rsidRPr="006C0769">
        <w:rPr>
          <w:rFonts w:cs="Times New Roman"/>
          <w:szCs w:val="24"/>
        </w:rPr>
        <w:t>Increase in supply for bonds.</w:t>
      </w:r>
    </w:p>
    <w:p w14:paraId="4E96BA5E" w14:textId="77777777" w:rsidR="00176C6E" w:rsidRPr="006C0769" w:rsidRDefault="00176C6E" w:rsidP="00BF552C">
      <w:pPr>
        <w:spacing w:line="480" w:lineRule="auto"/>
        <w:rPr>
          <w:rFonts w:cs="Times New Roman"/>
          <w:szCs w:val="24"/>
        </w:rPr>
      </w:pPr>
    </w:p>
    <w:p w14:paraId="07787B06" w14:textId="77777777" w:rsidR="00C04C54" w:rsidRPr="006C0769" w:rsidRDefault="00176C6E" w:rsidP="00BF552C">
      <w:pPr>
        <w:spacing w:line="480" w:lineRule="auto"/>
        <w:rPr>
          <w:rFonts w:cs="Times New Roman"/>
          <w:szCs w:val="24"/>
        </w:rPr>
      </w:pPr>
      <w:r w:rsidRPr="006C0769">
        <w:rPr>
          <w:rFonts w:cs="Times New Roman"/>
          <w:noProof/>
          <w:szCs w:val="24"/>
        </w:rPr>
        <w:drawing>
          <wp:inline distT="0" distB="0" distL="0" distR="0" wp14:anchorId="2CD0F2D9" wp14:editId="670149B8">
            <wp:extent cx="2619375" cy="2333625"/>
            <wp:effectExtent l="0" t="0" r="9525" b="9525"/>
            <wp:docPr id="5" name="Picture 5" descr="The supply increases for bo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he supply increases for bond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19375" cy="2333625"/>
                    </a:xfrm>
                    <a:prstGeom prst="rect">
                      <a:avLst/>
                    </a:prstGeom>
                    <a:noFill/>
                    <a:ln>
                      <a:noFill/>
                    </a:ln>
                  </pic:spPr>
                </pic:pic>
              </a:graphicData>
            </a:graphic>
          </wp:inline>
        </w:drawing>
      </w:r>
    </w:p>
    <w:p w14:paraId="3414449C" w14:textId="27C328FF" w:rsidR="00176C6E" w:rsidRPr="006C0769" w:rsidRDefault="00C17F70" w:rsidP="00BF552C">
      <w:pPr>
        <w:spacing w:after="0" w:line="480" w:lineRule="auto"/>
        <w:jc w:val="both"/>
        <w:rPr>
          <w:rFonts w:cs="Times New Roman"/>
          <w:szCs w:val="24"/>
        </w:rPr>
      </w:pPr>
      <w:r w:rsidRPr="006C0769">
        <w:rPr>
          <w:rFonts w:cs="Times New Roman"/>
          <w:szCs w:val="24"/>
        </w:rPr>
        <w:t xml:space="preserve">From the video clip </w:t>
      </w:r>
      <w:r w:rsidR="006C0769" w:rsidRPr="006C0769">
        <w:rPr>
          <w:rFonts w:cs="Times New Roman"/>
          <w:szCs w:val="24"/>
        </w:rPr>
        <w:t>most,</w:t>
      </w:r>
      <w:r w:rsidRPr="006C0769">
        <w:rPr>
          <w:rFonts w:cs="Times New Roman"/>
          <w:szCs w:val="24"/>
        </w:rPr>
        <w:t xml:space="preserve"> investors are moving from investing in private money fund to government money fund. As a </w:t>
      </w:r>
      <w:r w:rsidR="006C0769" w:rsidRPr="006C0769">
        <w:rPr>
          <w:rFonts w:cs="Times New Roman"/>
          <w:szCs w:val="24"/>
        </w:rPr>
        <w:t>result,</w:t>
      </w:r>
      <w:r w:rsidRPr="006C0769">
        <w:rPr>
          <w:rFonts w:cs="Times New Roman"/>
          <w:szCs w:val="24"/>
        </w:rPr>
        <w:t xml:space="preserve"> there has been an increase in quantity demanded for the treasury bonds</w:t>
      </w:r>
      <w:r w:rsidR="006C0769">
        <w:rPr>
          <w:rFonts w:cs="Times New Roman"/>
          <w:szCs w:val="24"/>
        </w:rPr>
        <w:t xml:space="preserve"> (</w:t>
      </w:r>
      <w:proofErr w:type="spellStart"/>
      <w:r w:rsidR="006C0769" w:rsidRPr="006C0769">
        <w:rPr>
          <w:rFonts w:cs="Times New Roman"/>
          <w:szCs w:val="24"/>
          <w:shd w:val="clear" w:color="auto" w:fill="FFFFFF"/>
        </w:rPr>
        <w:t>Haga</w:t>
      </w:r>
      <w:proofErr w:type="spellEnd"/>
      <w:r w:rsidR="006C0769" w:rsidRPr="006C0769">
        <w:rPr>
          <w:rFonts w:cs="Times New Roman"/>
          <w:szCs w:val="24"/>
          <w:shd w:val="clear" w:color="auto" w:fill="FFFFFF"/>
        </w:rPr>
        <w:t>, 2012)</w:t>
      </w:r>
      <w:r w:rsidRPr="006C0769">
        <w:rPr>
          <w:rFonts w:cs="Times New Roman"/>
          <w:szCs w:val="24"/>
        </w:rPr>
        <w:t>. This has led to decrease in quantity demanded of</w:t>
      </w:r>
      <w:r w:rsidR="0050302B" w:rsidRPr="006C0769">
        <w:rPr>
          <w:rFonts w:cs="Times New Roman"/>
          <w:szCs w:val="24"/>
        </w:rPr>
        <w:t xml:space="preserve"> basic commodities in the market such commercial paper.</w:t>
      </w:r>
    </w:p>
    <w:p w14:paraId="0898EDB1" w14:textId="77777777" w:rsidR="00EE2233" w:rsidRPr="001331F1" w:rsidRDefault="00EE2233" w:rsidP="00BF552C">
      <w:pPr>
        <w:spacing w:after="0" w:line="480" w:lineRule="auto"/>
        <w:jc w:val="both"/>
        <w:rPr>
          <w:rFonts w:cs="Times New Roman"/>
          <w:b/>
          <w:szCs w:val="24"/>
        </w:rPr>
      </w:pPr>
      <w:r w:rsidRPr="001331F1">
        <w:rPr>
          <w:rFonts w:cs="Times New Roman"/>
          <w:b/>
          <w:szCs w:val="24"/>
        </w:rPr>
        <w:t>Response</w:t>
      </w:r>
    </w:p>
    <w:p w14:paraId="6DE34AAF" w14:textId="5919086C" w:rsidR="0065705B" w:rsidRPr="006C0769" w:rsidRDefault="0065705B" w:rsidP="00BF552C">
      <w:pPr>
        <w:spacing w:after="0" w:line="480" w:lineRule="auto"/>
        <w:ind w:firstLine="720"/>
        <w:jc w:val="both"/>
        <w:rPr>
          <w:rFonts w:cs="Times New Roman"/>
          <w:szCs w:val="24"/>
        </w:rPr>
      </w:pPr>
      <w:r w:rsidRPr="006C0769">
        <w:rPr>
          <w:rFonts w:cs="Times New Roman"/>
          <w:szCs w:val="24"/>
        </w:rPr>
        <w:t>When short-term interest rates are</w:t>
      </w:r>
      <w:bookmarkStart w:id="0" w:name="_GoBack"/>
      <w:bookmarkEnd w:id="0"/>
      <w:r w:rsidRPr="006C0769">
        <w:rPr>
          <w:rFonts w:cs="Times New Roman"/>
          <w:szCs w:val="24"/>
        </w:rPr>
        <w:t xml:space="preserve"> low, yield curves are more likely to have an upward slope; when short-term rates are high, yield curves are more likely to slope downward and be inverted</w:t>
      </w:r>
      <w:r w:rsidR="00BF552C" w:rsidRPr="006C0769">
        <w:rPr>
          <w:rFonts w:cs="Times New Roman"/>
          <w:szCs w:val="24"/>
        </w:rPr>
        <w:t>.</w:t>
      </w:r>
    </w:p>
    <w:p w14:paraId="0249B4CD" w14:textId="77777777" w:rsidR="00B777F9" w:rsidRDefault="00B777F9">
      <w:pPr>
        <w:rPr>
          <w:rFonts w:cs="Times New Roman"/>
          <w:szCs w:val="24"/>
        </w:rPr>
      </w:pPr>
      <w:r>
        <w:rPr>
          <w:rFonts w:cs="Times New Roman"/>
          <w:szCs w:val="24"/>
        </w:rPr>
        <w:br w:type="page"/>
      </w:r>
    </w:p>
    <w:p w14:paraId="3064F9D7" w14:textId="5F16A1CA" w:rsidR="00AF2DE5" w:rsidRPr="006C0769" w:rsidRDefault="00AF2DE5" w:rsidP="00AF2DE5">
      <w:pPr>
        <w:spacing w:after="0" w:line="480" w:lineRule="auto"/>
        <w:jc w:val="center"/>
        <w:rPr>
          <w:rFonts w:cs="Times New Roman"/>
          <w:szCs w:val="24"/>
        </w:rPr>
      </w:pPr>
      <w:r w:rsidRPr="006C0769">
        <w:rPr>
          <w:rFonts w:cs="Times New Roman"/>
          <w:szCs w:val="24"/>
        </w:rPr>
        <w:lastRenderedPageBreak/>
        <w:t>References</w:t>
      </w:r>
    </w:p>
    <w:p w14:paraId="4C38D113" w14:textId="32105EC8" w:rsidR="00AF2DE5" w:rsidRDefault="00AF2DE5" w:rsidP="006C0769">
      <w:pPr>
        <w:spacing w:after="0" w:line="480" w:lineRule="auto"/>
        <w:ind w:left="720" w:hanging="720"/>
        <w:jc w:val="both"/>
        <w:rPr>
          <w:rFonts w:cs="Times New Roman"/>
          <w:szCs w:val="24"/>
          <w:shd w:val="clear" w:color="auto" w:fill="FFFFFF"/>
        </w:rPr>
      </w:pPr>
      <w:proofErr w:type="spellStart"/>
      <w:r w:rsidRPr="006C0769">
        <w:rPr>
          <w:rFonts w:cs="Times New Roman"/>
          <w:szCs w:val="24"/>
          <w:shd w:val="clear" w:color="auto" w:fill="FFFFFF"/>
        </w:rPr>
        <w:t>Haga</w:t>
      </w:r>
      <w:proofErr w:type="spellEnd"/>
      <w:r w:rsidRPr="006C0769">
        <w:rPr>
          <w:rFonts w:cs="Times New Roman"/>
          <w:szCs w:val="24"/>
          <w:shd w:val="clear" w:color="auto" w:fill="FFFFFF"/>
        </w:rPr>
        <w:t>, H. (2012). </w:t>
      </w:r>
      <w:r w:rsidRPr="006C0769">
        <w:rPr>
          <w:rFonts w:cs="Times New Roman"/>
          <w:i/>
          <w:iCs/>
          <w:szCs w:val="24"/>
          <w:shd w:val="clear" w:color="auto" w:fill="FFFFFF"/>
        </w:rPr>
        <w:t>A disequilibrium-equilibrium model with money and bonds: A Keynesian-</w:t>
      </w:r>
      <w:proofErr w:type="spellStart"/>
      <w:r w:rsidRPr="006C0769">
        <w:rPr>
          <w:rFonts w:cs="Times New Roman"/>
          <w:i/>
          <w:iCs/>
          <w:szCs w:val="24"/>
          <w:shd w:val="clear" w:color="auto" w:fill="FFFFFF"/>
        </w:rPr>
        <w:t>Walrasian</w:t>
      </w:r>
      <w:proofErr w:type="spellEnd"/>
      <w:r w:rsidRPr="006C0769">
        <w:rPr>
          <w:rFonts w:cs="Times New Roman"/>
          <w:i/>
          <w:iCs/>
          <w:szCs w:val="24"/>
          <w:shd w:val="clear" w:color="auto" w:fill="FFFFFF"/>
        </w:rPr>
        <w:t xml:space="preserve"> synthesis</w:t>
      </w:r>
      <w:r w:rsidRPr="006C0769">
        <w:rPr>
          <w:rFonts w:cs="Times New Roman"/>
          <w:szCs w:val="24"/>
          <w:shd w:val="clear" w:color="auto" w:fill="FFFFFF"/>
        </w:rPr>
        <w:t>. Berlin: Springer-Verlag</w:t>
      </w:r>
    </w:p>
    <w:p w14:paraId="57DB372F" w14:textId="77777777" w:rsidR="006C0769" w:rsidRPr="006C0769" w:rsidRDefault="006C0769" w:rsidP="006C0769">
      <w:pPr>
        <w:spacing w:after="0" w:line="480" w:lineRule="auto"/>
        <w:jc w:val="both"/>
        <w:rPr>
          <w:rFonts w:cs="Times New Roman"/>
          <w:szCs w:val="24"/>
          <w:shd w:val="clear" w:color="auto" w:fill="FFFFFF"/>
        </w:rPr>
      </w:pPr>
      <w:r w:rsidRPr="006C0769">
        <w:rPr>
          <w:rFonts w:cs="Times New Roman"/>
          <w:szCs w:val="24"/>
          <w:shd w:val="clear" w:color="auto" w:fill="FFFFFF"/>
        </w:rPr>
        <w:t>Tucker, I. B. (2014). </w:t>
      </w:r>
      <w:r w:rsidRPr="006C0769">
        <w:rPr>
          <w:rFonts w:cs="Times New Roman"/>
          <w:i/>
          <w:iCs/>
          <w:szCs w:val="24"/>
          <w:shd w:val="clear" w:color="auto" w:fill="FFFFFF"/>
        </w:rPr>
        <w:t>Economics for today</w:t>
      </w:r>
      <w:r w:rsidRPr="006C0769">
        <w:rPr>
          <w:rFonts w:cs="Times New Roman"/>
          <w:szCs w:val="24"/>
          <w:shd w:val="clear" w:color="auto" w:fill="FFFFFF"/>
        </w:rPr>
        <w:t>.</w:t>
      </w:r>
    </w:p>
    <w:p w14:paraId="3910E2D7" w14:textId="77777777" w:rsidR="006C0769" w:rsidRPr="006C0769" w:rsidRDefault="006C0769" w:rsidP="006C0769">
      <w:pPr>
        <w:spacing w:after="0" w:line="480" w:lineRule="auto"/>
        <w:ind w:left="720" w:hanging="720"/>
        <w:jc w:val="both"/>
        <w:rPr>
          <w:rFonts w:cs="Times New Roman"/>
          <w:szCs w:val="24"/>
        </w:rPr>
      </w:pPr>
    </w:p>
    <w:sectPr w:rsidR="006C0769" w:rsidRPr="006C0769" w:rsidSect="00BF552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4419FF" w14:textId="77777777" w:rsidR="001800BF" w:rsidRDefault="001800BF" w:rsidP="00BF552C">
      <w:pPr>
        <w:spacing w:after="0" w:line="240" w:lineRule="auto"/>
      </w:pPr>
      <w:r>
        <w:separator/>
      </w:r>
    </w:p>
  </w:endnote>
  <w:endnote w:type="continuationSeparator" w:id="0">
    <w:p w14:paraId="61E59C77" w14:textId="77777777" w:rsidR="001800BF" w:rsidRDefault="001800BF" w:rsidP="00BF5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Sylfae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AA94A7" w14:textId="77777777" w:rsidR="001800BF" w:rsidRDefault="001800BF" w:rsidP="00BF552C">
      <w:pPr>
        <w:spacing w:after="0" w:line="240" w:lineRule="auto"/>
      </w:pPr>
      <w:r>
        <w:separator/>
      </w:r>
    </w:p>
  </w:footnote>
  <w:footnote w:type="continuationSeparator" w:id="0">
    <w:p w14:paraId="3740CD45" w14:textId="77777777" w:rsidR="001800BF" w:rsidRDefault="001800BF" w:rsidP="00BF55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4F0ACF" w14:textId="77777777" w:rsidR="00BF552C" w:rsidRDefault="00BF552C" w:rsidP="00BF552C">
    <w:pPr>
      <w:pStyle w:val="Header"/>
    </w:pPr>
    <w:r>
      <w:t xml:space="preserve">CORPORATE FINANCE ASSIGNMENT </w:t>
    </w:r>
    <w:sdt>
      <w:sdtPr>
        <w:id w:val="571241433"/>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2E079F">
          <w:rPr>
            <w:noProof/>
          </w:rPr>
          <w:t>5</w:t>
        </w:r>
        <w:r>
          <w:rPr>
            <w:noProof/>
          </w:rPr>
          <w:fldChar w:fldCharType="end"/>
        </w:r>
      </w:sdtContent>
    </w:sdt>
  </w:p>
  <w:p w14:paraId="445E6A2F" w14:textId="77777777" w:rsidR="00BF552C" w:rsidRDefault="00BF55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DE1712" w14:textId="77777777" w:rsidR="00BF552C" w:rsidRDefault="00BF552C" w:rsidP="00BF552C">
    <w:pPr>
      <w:pStyle w:val="Header"/>
    </w:pPr>
    <w:r>
      <w:t>Running head: CORPORATE FINANCE ASSIGNMENT</w:t>
    </w:r>
    <w:sdt>
      <w:sdtPr>
        <w:id w:val="1356847053"/>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2E079F">
          <w:rPr>
            <w:noProof/>
          </w:rPr>
          <w:t>1</w:t>
        </w:r>
        <w:r>
          <w:rPr>
            <w:noProof/>
          </w:rPr>
          <w:fldChar w:fldCharType="end"/>
        </w:r>
      </w:sdtContent>
    </w:sdt>
  </w:p>
  <w:p w14:paraId="662802F3" w14:textId="77777777" w:rsidR="00BF552C" w:rsidRDefault="00BF55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WysLQwN7Q0M7MwMTFU0lEKTi0uzszPAykwrAUAmArJIiwAAAA="/>
  </w:docVars>
  <w:rsids>
    <w:rsidRoot w:val="00947E3E"/>
    <w:rsid w:val="000D0D1D"/>
    <w:rsid w:val="001331F1"/>
    <w:rsid w:val="00176C6E"/>
    <w:rsid w:val="001800BF"/>
    <w:rsid w:val="00201743"/>
    <w:rsid w:val="00240BD9"/>
    <w:rsid w:val="0024600F"/>
    <w:rsid w:val="002733D8"/>
    <w:rsid w:val="002C7922"/>
    <w:rsid w:val="002E079F"/>
    <w:rsid w:val="00384966"/>
    <w:rsid w:val="004F3938"/>
    <w:rsid w:val="0050302B"/>
    <w:rsid w:val="005113A3"/>
    <w:rsid w:val="00527D02"/>
    <w:rsid w:val="0065705B"/>
    <w:rsid w:val="006C0769"/>
    <w:rsid w:val="008B51D3"/>
    <w:rsid w:val="008E085B"/>
    <w:rsid w:val="00947E3E"/>
    <w:rsid w:val="00983AD8"/>
    <w:rsid w:val="009F1D96"/>
    <w:rsid w:val="00AF2DE5"/>
    <w:rsid w:val="00B777F9"/>
    <w:rsid w:val="00BF552C"/>
    <w:rsid w:val="00C04C54"/>
    <w:rsid w:val="00C17F70"/>
    <w:rsid w:val="00D93359"/>
    <w:rsid w:val="00EE2233"/>
    <w:rsid w:val="00F34140"/>
    <w:rsid w:val="00F86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5D3AE"/>
  <w15:docId w15:val="{4B37DDAF-65CF-4578-BFCE-1E374096C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47E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4C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4C54"/>
    <w:rPr>
      <w:rFonts w:ascii="Tahoma" w:hAnsi="Tahoma" w:cs="Tahoma"/>
      <w:sz w:val="16"/>
      <w:szCs w:val="16"/>
    </w:rPr>
  </w:style>
  <w:style w:type="paragraph" w:styleId="Header">
    <w:name w:val="header"/>
    <w:basedOn w:val="Normal"/>
    <w:link w:val="HeaderChar"/>
    <w:uiPriority w:val="99"/>
    <w:unhideWhenUsed/>
    <w:rsid w:val="00BF55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552C"/>
  </w:style>
  <w:style w:type="paragraph" w:styleId="Footer">
    <w:name w:val="footer"/>
    <w:basedOn w:val="Normal"/>
    <w:link w:val="FooterChar"/>
    <w:uiPriority w:val="99"/>
    <w:unhideWhenUsed/>
    <w:rsid w:val="00BF55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5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gi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539</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Captain101</cp:lastModifiedBy>
  <cp:revision>2</cp:revision>
  <dcterms:created xsi:type="dcterms:W3CDTF">2018-10-30T00:49:00Z</dcterms:created>
  <dcterms:modified xsi:type="dcterms:W3CDTF">2018-10-30T00:49:00Z</dcterms:modified>
</cp:coreProperties>
</file>