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colors1.xml" ContentType="application/vnd.ms-office.chartcolorstyle+xml"/>
  <Override PartName="/word/charts/chart/colors2.xml" ContentType="application/vnd.ms-office.chartcolorstyle+xml"/>
  <Override PartName="/word/charts/chart/style1.xml" ContentType="application/vnd.ms-office.chartstyle+xml"/>
  <Override PartName="/word/charts/chart/style2.xml" ContentType="application/vnd.ms-office.chartstyle+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9208FF" w:rsidRPr="00A40503" w:rsidP="00A40503">
      <w:pPr>
        <w:spacing w:line="480" w:lineRule="auto"/>
        <w:jc w:val="center"/>
        <w:rPr>
          <w:rFonts w:ascii="Times New Roman" w:hAnsi="Times New Roman" w:cs="Times New Roman"/>
          <w:sz w:val="24"/>
          <w:szCs w:val="24"/>
        </w:rPr>
      </w:pPr>
    </w:p>
    <w:p w:rsidR="009208FF" w:rsidRPr="00A40503" w:rsidP="00A40503">
      <w:pPr>
        <w:spacing w:line="480" w:lineRule="auto"/>
        <w:rPr>
          <w:rFonts w:ascii="Times New Roman" w:hAnsi="Times New Roman" w:cs="Times New Roman"/>
          <w:sz w:val="24"/>
          <w:szCs w:val="24"/>
        </w:rPr>
      </w:pPr>
    </w:p>
    <w:p w:rsidR="009208FF" w:rsidRPr="00A40503" w:rsidP="00A40503">
      <w:pPr>
        <w:spacing w:line="480" w:lineRule="auto"/>
        <w:rPr>
          <w:rFonts w:ascii="Times New Roman" w:hAnsi="Times New Roman" w:cs="Times New Roman"/>
          <w:sz w:val="24"/>
          <w:szCs w:val="24"/>
        </w:rPr>
      </w:pPr>
    </w:p>
    <w:p w:rsidR="009208FF" w:rsidRPr="00A40503" w:rsidP="00193DDC">
      <w:pPr>
        <w:spacing w:line="480" w:lineRule="auto"/>
        <w:jc w:val="center"/>
        <w:rPr>
          <w:rFonts w:ascii="Times New Roman" w:hAnsi="Times New Roman" w:cs="Times New Roman"/>
          <w:sz w:val="24"/>
          <w:szCs w:val="24"/>
        </w:rPr>
      </w:pPr>
      <w:r>
        <w:rPr>
          <w:rFonts w:ascii="Times New Roman" w:hAnsi="Times New Roman" w:cs="Times New Roman"/>
          <w:sz w:val="24"/>
          <w:szCs w:val="24"/>
        </w:rPr>
        <w:t>Role of Enzyme in the Cell</w:t>
      </w:r>
    </w:p>
    <w:p w:rsidR="00325356"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ab/>
        <w:t>Student Name</w:t>
      </w:r>
    </w:p>
    <w:p w:rsidR="009208FF" w:rsidRPr="00A40503" w:rsidP="00A40503">
      <w:pPr>
        <w:tabs>
          <w:tab w:val="left" w:pos="4005"/>
        </w:tabs>
        <w:spacing w:line="480" w:lineRule="auto"/>
        <w:jc w:val="center"/>
        <w:rPr>
          <w:rFonts w:ascii="Times New Roman" w:hAnsi="Times New Roman" w:cs="Times New Roman"/>
          <w:sz w:val="24"/>
          <w:szCs w:val="24"/>
        </w:rPr>
      </w:pPr>
      <w:r w:rsidRPr="00A40503">
        <w:rPr>
          <w:rFonts w:ascii="Times New Roman" w:hAnsi="Times New Roman" w:cs="Times New Roman"/>
          <w:sz w:val="24"/>
          <w:szCs w:val="24"/>
        </w:rPr>
        <w:t>Institutional Affiliation</w:t>
      </w: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9208FF" w:rsidRPr="00A40503" w:rsidP="00A40503">
      <w:pPr>
        <w:tabs>
          <w:tab w:val="left" w:pos="4005"/>
        </w:tabs>
        <w:spacing w:line="480" w:lineRule="auto"/>
        <w:jc w:val="center"/>
        <w:rPr>
          <w:rFonts w:ascii="Times New Roman" w:hAnsi="Times New Roman" w:cs="Times New Roman"/>
          <w:sz w:val="24"/>
          <w:szCs w:val="24"/>
        </w:rPr>
      </w:pPr>
    </w:p>
    <w:p w:rsidR="00A40503" w:rsidP="00A40503">
      <w:pPr>
        <w:tabs>
          <w:tab w:val="left" w:pos="4005"/>
        </w:tabs>
        <w:spacing w:line="480" w:lineRule="auto"/>
        <w:rPr>
          <w:rFonts w:ascii="Times New Roman" w:hAnsi="Times New Roman" w:cs="Times New Roman"/>
          <w:sz w:val="24"/>
          <w:szCs w:val="24"/>
        </w:rPr>
      </w:pPr>
    </w:p>
    <w:p w:rsidR="009208FF"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The reason for conducting this experiment is to investigate the role of enzymes in the cell. They make slow reactions in the cells faster. They assist in converting reactants to products by lowering the energy of the transition state.</w:t>
      </w:r>
      <w:r w:rsidRPr="00A40503" w:rsidR="004C2E4B">
        <w:rPr>
          <w:rFonts w:ascii="Times New Roman" w:hAnsi="Times New Roman" w:cs="Times New Roman"/>
          <w:sz w:val="24"/>
          <w:szCs w:val="24"/>
        </w:rPr>
        <w:t xml:space="preserve"> To achieve this, I have characterized enzymes using a few parameters: Vmax and Km. I also determined the rate of a chemical reaction by measuring the amount of products over time. I even the Beer-Lambert Law to make a relation of the amount of light absorbed to the concentration of the coloured products.</w:t>
      </w:r>
      <w:r w:rsidRPr="00A40503" w:rsidR="00ED1890">
        <w:rPr>
          <w:rFonts w:ascii="Times New Roman" w:hAnsi="Times New Roman" w:cs="Times New Roman"/>
          <w:sz w:val="24"/>
          <w:szCs w:val="24"/>
        </w:rPr>
        <w:t xml:space="preserve"> In this experiment, I used an enzyme, </w:t>
      </w:r>
      <w:r w:rsidRPr="00A40503" w:rsidR="006076F2">
        <w:rPr>
          <w:rFonts w:ascii="Times New Roman" w:hAnsi="Times New Roman" w:cs="Times New Roman"/>
          <w:sz w:val="24"/>
          <w:szCs w:val="24"/>
        </w:rPr>
        <w:t>bovine alkaline phosphate, which is from to determine the removal of phosphate from the substrate, p-nitrophenyl phosphate.
</w:t>
      </w:r>
    </w:p>
    <w:p w:rsidR="006076F2"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There are several abbreviations: Vo, which is the linear rate or the initial velocity. It also one of the critical feature of an enzyme-catalyzed reaction. The initial speed is dependent on the</w:t>
      </w:r>
      <w:r w:rsidRPr="00A40503" w:rsidR="00FA72EE">
        <w:rPr>
          <w:rFonts w:ascii="Times New Roman" w:hAnsi="Times New Roman" w:cs="Times New Roman"/>
          <w:sz w:val="24"/>
          <w:szCs w:val="24"/>
        </w:rPr>
        <w:t xml:space="preserve"> substrate concentration (S). I</w:t>
      </w:r>
      <w:r w:rsidRPr="00A40503">
        <w:rPr>
          <w:rFonts w:ascii="Times New Roman" w:hAnsi="Times New Roman" w:cs="Times New Roman"/>
          <w:sz w:val="24"/>
          <w:szCs w:val="24"/>
        </w:rPr>
        <w:t xml:space="preserve"> also have Vmax, which is the maximum velocity, and it is the fastest that the given amount of enzyme can convert substrate </w:t>
      </w:r>
      <w:r w:rsidRPr="00A40503" w:rsidR="00FA72EE">
        <w:rPr>
          <w:rFonts w:ascii="Times New Roman" w:hAnsi="Times New Roman" w:cs="Times New Roman"/>
          <w:sz w:val="24"/>
          <w:szCs w:val="24"/>
        </w:rPr>
        <w:t>to products.</w:t>
      </w:r>
    </w:p>
    <w:p w:rsidR="00FA72EE"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 xml:space="preserve">I used a spectrometer to measure the amount of p-nitrophenol produced over time. Then I calculated the slope of the line produced to determine the rate of change in absorbance. I also obtained </w:t>
      </w:r>
      <w:r w:rsidRPr="00A40503" w:rsidR="003F134E">
        <w:rPr>
          <w:rFonts w:ascii="Times New Roman" w:hAnsi="Times New Roman" w:cs="Times New Roman"/>
          <w:sz w:val="24"/>
          <w:szCs w:val="24"/>
        </w:rPr>
        <w:t xml:space="preserve">the rate of product concentration using the Beer-Lambert Law which says that </w:t>
      </w:r>
    </w:p>
    <w:p w:rsidR="003F134E"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 xml:space="preserve">Absorbance= Concentration * Pathlength * Extinction Coefficient </w:t>
      </w:r>
    </w:p>
    <w:p w:rsidR="00F83D90" w:rsidRPr="00A40503" w:rsidP="00A40503">
      <w:pPr>
        <w:tabs>
          <w:tab w:val="left" w:pos="4005"/>
        </w:tabs>
        <w:spacing w:line="480" w:lineRule="auto"/>
        <w:rPr>
          <w:rFonts w:ascii="Times New Roman" w:hAnsi="Times New Roman" w:cs="Times New Roman"/>
          <w:sz w:val="24"/>
          <w:szCs w:val="24"/>
        </w:rPr>
      </w:pPr>
    </w:p>
    <w:tbl>
      <w:tblPr>
        <w:tblStyle w:val="TableGrid"/>
        <w:tblW w:w="0" w:type="auto"/>
        <w:tblLook w:val="04A0"/>
      </w:tblPr>
      <w:tblGrid>
        <w:gridCol w:w="1900"/>
        <w:gridCol w:w="1912"/>
        <w:gridCol w:w="1580"/>
      </w:tblGrid>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Concentration (</w:t>
            </w:r>
            <w:r w:rsidRPr="00A40503">
              <w:rPr>
                <w:rFonts w:ascii="Times New Roman" w:hAnsi="Times New Roman" w:cs="Times New Roman"/>
                <w:sz w:val="24"/>
                <w:szCs w:val="24"/>
              </w:rPr>
              <w:t>mM</w:t>
            </w:r>
            <w:r w:rsidRPr="00A40503">
              <w:rPr>
                <w:rFonts w:ascii="Times New Roman" w:hAnsi="Times New Roman" w:cs="Times New Roman"/>
                <w:sz w:val="24"/>
                <w:szCs w:val="24"/>
              </w:rPr>
              <w:t xml:space="preserve">) </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Rate (</w:t>
            </w:r>
            <w:r w:rsidRPr="00A40503">
              <w:rPr>
                <w:rFonts w:ascii="Times New Roman" w:hAnsi="Times New Roman" w:cs="Times New Roman"/>
                <w:sz w:val="24"/>
                <w:szCs w:val="24"/>
              </w:rPr>
              <w:t>uM</w:t>
            </w:r>
            <w:r w:rsidRPr="00A40503">
              <w:rPr>
                <w:rFonts w:ascii="Times New Roman" w:hAnsi="Times New Roman" w:cs="Times New Roman"/>
                <w:sz w:val="24"/>
                <w:szCs w:val="24"/>
              </w:rPr>
              <w:t>/s)</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Rate (</w:t>
            </w:r>
            <w:r w:rsidRPr="00A40503">
              <w:rPr>
                <w:rFonts w:ascii="Times New Roman" w:hAnsi="Times New Roman" w:cs="Times New Roman"/>
                <w:sz w:val="24"/>
                <w:szCs w:val="24"/>
              </w:rPr>
              <w:t>uM</w:t>
            </w:r>
            <w:r w:rsidRPr="00A40503">
              <w:rPr>
                <w:rFonts w:ascii="Times New Roman" w:hAnsi="Times New Roman" w:cs="Times New Roman"/>
                <w:sz w:val="24"/>
                <w:szCs w:val="24"/>
              </w:rPr>
              <w:t>/s)</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0.48</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0.339</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0.08093</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0.24</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0.746</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0.1486</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0.16</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0.2472</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0.09</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0.096</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0.205</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0.0761</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0.048</w:t>
            </w: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0.1322</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0.0667</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orange = no inhibitor</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 xml:space="preserve">blue = inhibitor </w:t>
            </w:r>
          </w:p>
        </w:tc>
      </w:tr>
      <w:tr w:rsidTr="00F83D90">
        <w:tblPrEx>
          <w:tblW w:w="0" w:type="auto"/>
          <w:tblLook w:val="04A0"/>
        </w:tblPrEx>
        <w:trPr>
          <w:trHeight w:val="300"/>
        </w:trPr>
        <w:tc>
          <w:tcPr>
            <w:tcW w:w="1900" w:type="dxa"/>
            <w:noWrap/>
            <w:hideMark/>
          </w:tcPr>
          <w:p w:rsidR="00F83D90" w:rsidRPr="00A40503" w:rsidP="00A40503">
            <w:pPr>
              <w:tabs>
                <w:tab w:val="left" w:pos="4005"/>
              </w:tabs>
              <w:spacing w:line="480" w:lineRule="auto"/>
              <w:rPr>
                <w:rFonts w:ascii="Times New Roman" w:hAnsi="Times New Roman" w:cs="Times New Roman"/>
                <w:sz w:val="24"/>
                <w:szCs w:val="24"/>
              </w:rPr>
            </w:pPr>
          </w:p>
        </w:tc>
        <w:tc>
          <w:tcPr>
            <w:tcW w:w="1912" w:type="dxa"/>
            <w:noWrap/>
            <w:hideMark/>
          </w:tcPr>
          <w:p w:rsidR="00F83D90" w:rsidRPr="00A40503" w:rsidP="00A40503">
            <w:pPr>
              <w:tabs>
                <w:tab w:val="left" w:pos="4005"/>
              </w:tabs>
              <w:spacing w:line="480" w:lineRule="auto"/>
              <w:rPr>
                <w:rFonts w:ascii="Times New Roman" w:hAnsi="Times New Roman" w:cs="Times New Roman"/>
                <w:sz w:val="24"/>
                <w:szCs w:val="24"/>
              </w:rPr>
            </w:pP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p>
        </w:tc>
      </w:tr>
      <w:tr w:rsidTr="00F83D90">
        <w:tblPrEx>
          <w:tblW w:w="0" w:type="auto"/>
          <w:tblLook w:val="04A0"/>
        </w:tblPrEx>
        <w:trPr>
          <w:trHeight w:val="300"/>
        </w:trPr>
        <w:tc>
          <w:tcPr>
            <w:tcW w:w="3812" w:type="dxa"/>
            <w:gridSpan w:val="2"/>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rate = Average Product Conc. *100</w:t>
            </w:r>
          </w:p>
        </w:tc>
        <w:tc>
          <w:tcPr>
            <w:tcW w:w="1580" w:type="dxa"/>
            <w:noWrap/>
            <w:hideMark/>
          </w:tcPr>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 </w:t>
            </w:r>
          </w:p>
        </w:tc>
      </w:tr>
    </w:tbl>
    <w:p w:rsidR="00F83D90" w:rsidRPr="00A40503" w:rsidP="00A40503">
      <w:pPr>
        <w:tabs>
          <w:tab w:val="left" w:pos="4005"/>
        </w:tabs>
        <w:spacing w:line="480" w:lineRule="auto"/>
        <w:rPr>
          <w:rFonts w:ascii="Times New Roman" w:hAnsi="Times New Roman" w:cs="Times New Roman"/>
          <w:sz w:val="24"/>
          <w:szCs w:val="24"/>
        </w:rPr>
      </w:pPr>
    </w:p>
    <w:p w:rsidR="00F83D90"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I experimented in the absence of the inhibitor</w:t>
      </w:r>
      <w:r w:rsidRPr="00A40503" w:rsidR="00E320AF">
        <w:rPr>
          <w:rFonts w:ascii="Times New Roman" w:hAnsi="Times New Roman" w:cs="Times New Roman"/>
          <w:sz w:val="24"/>
          <w:szCs w:val="24"/>
        </w:rPr>
        <w:t xml:space="preserve"> and the second column is the rate of reaction. I also repeated the experiment in the presence of the inhibitor, 10 Mm theophylline to see how the reaction rate changes and the values are as shown above. In the absence of the inhibitor, the rate of reaction decreases with decreasing concentration.</w:t>
      </w:r>
      <w:r w:rsidRPr="00A40503" w:rsidR="006274FF">
        <w:rPr>
          <w:rFonts w:ascii="Times New Roman" w:hAnsi="Times New Roman" w:cs="Times New Roman"/>
          <w:sz w:val="24"/>
          <w:szCs w:val="24"/>
        </w:rPr>
        <w:t xml:space="preserve"> On the other hand, the decrease in the rate of reaction is uneven with reducing intensity. </w:t>
      </w:r>
      <w:r w:rsidRPr="00A40503" w:rsidR="00D76DB7">
        <w:rPr>
          <w:rFonts w:ascii="Times New Roman" w:hAnsi="Times New Roman" w:cs="Times New Roman"/>
          <w:sz w:val="24"/>
          <w:szCs w:val="24"/>
        </w:rPr>
        <w:t>I also drew a graph representing the information, as shown below.
</w:t>
      </w:r>
    </w:p>
    <w:p w:rsidR="006274FF"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noProof/>
          <w:sz w:val="24"/>
          <w:szCs w:val="24"/>
        </w:rPr>
        <w:drawing>
          <wp:inline distT="0" distB="0" distL="0" distR="0">
            <wp:extent cx="4419600" cy="2857500"/>
            <wp:effectExtent l="0" t="0" r="0" b="0"/>
            <wp:docPr id="1" name="Chart 1">
              <a:extLst xmlns:a="http://schemas.openxmlformats.org/drawingml/2006/main">
                <a:ext xmlns:a="http://schemas.openxmlformats.org/drawingml/2006/main" uri="{FF2B5EF4-FFF2-40B4-BE49-F238E27FC236}">
                  <a16:creationId xmlns="" xmlns:a16="http://schemas.microsoft.com/office/drawing/2014/main" xmlns:lc="http://schemas.openxmlformats.org/drawingml/2006/lockedCanvas" xmlns:xdr="http://schemas.openxmlformats.org/drawingml/2006/spreadsheetDrawing" id="{C135F43A-FC62-47CA-9C70-602D4E5294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6274FF"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 xml:space="preserve">I also calculated the reciprocal of </w:t>
      </w:r>
      <w:r w:rsidRPr="00A40503" w:rsidR="00D76DB7">
        <w:rPr>
          <w:rFonts w:ascii="Times New Roman" w:hAnsi="Times New Roman" w:cs="Times New Roman"/>
          <w:sz w:val="24"/>
          <w:szCs w:val="24"/>
        </w:rPr>
        <w:t>concentration both in the presence of inhibitor and in the absence of inhibitor and the results are as shown on the table below.
</w:t>
      </w:r>
    </w:p>
    <w:tbl>
      <w:tblPr>
        <w:tblW w:w="5380" w:type="dxa"/>
        <w:tblLook w:val="04A0"/>
      </w:tblPr>
      <w:tblGrid>
        <w:gridCol w:w="1900"/>
        <w:gridCol w:w="1900"/>
        <w:gridCol w:w="1580"/>
      </w:tblGrid>
      <w:tr w:rsidTr="00D76DB7">
        <w:tblPrEx>
          <w:tblW w:w="5380" w:type="dxa"/>
          <w:tblLook w:val="04A0"/>
        </w:tblPrEx>
        <w:trPr>
          <w:trHeight w:val="300"/>
        </w:trPr>
        <w:tc>
          <w:tcPr>
            <w:tcW w:w="1900" w:type="dxa"/>
            <w:tcBorders>
              <w:top w:val="nil"/>
              <w:left w:val="nil"/>
              <w:bottom w:val="nil"/>
              <w:right w:val="nil"/>
            </w:tcBorders>
            <w:shd w:val="clear" w:color="000000" w:fill="E2EFDA"/>
            <w:noWrap/>
            <w:vAlign w:val="bottom"/>
            <w:hideMark/>
          </w:tcPr>
          <w:p w:rsidR="00D76DB7" w:rsidRPr="00D76DB7" w:rsidP="00A40503">
            <w:pPr>
              <w:spacing w:after="0" w:line="480" w:lineRule="auto"/>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w:t>
            </w:r>
            <w:r w:rsidRPr="00D76DB7">
              <w:rPr>
                <w:rFonts w:ascii="Times New Roman" w:eastAsia="Times New Roman" w:hAnsi="Times New Roman" w:cs="Times New Roman"/>
                <w:color w:val="000000"/>
                <w:sz w:val="24"/>
                <w:szCs w:val="24"/>
              </w:rPr>
              <w:t>mM</w:t>
            </w:r>
          </w:p>
        </w:tc>
        <w:tc>
          <w:tcPr>
            <w:tcW w:w="1900" w:type="dxa"/>
            <w:tcBorders>
              <w:top w:val="nil"/>
              <w:left w:val="nil"/>
              <w:bottom w:val="nil"/>
              <w:right w:val="nil"/>
            </w:tcBorders>
            <w:shd w:val="clear" w:color="000000" w:fill="E2EFDA"/>
            <w:noWrap/>
            <w:vAlign w:val="bottom"/>
            <w:hideMark/>
          </w:tcPr>
          <w:p w:rsidR="00D76DB7" w:rsidRPr="00D76DB7" w:rsidP="00A40503">
            <w:pPr>
              <w:spacing w:after="0" w:line="480" w:lineRule="auto"/>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 xml:space="preserve">No Inhibitor </w:t>
            </w:r>
          </w:p>
        </w:tc>
        <w:tc>
          <w:tcPr>
            <w:tcW w:w="1580" w:type="dxa"/>
            <w:tcBorders>
              <w:top w:val="nil"/>
              <w:left w:val="nil"/>
              <w:bottom w:val="nil"/>
              <w:right w:val="nil"/>
            </w:tcBorders>
            <w:shd w:val="clear" w:color="000000" w:fill="E2EFDA"/>
            <w:noWrap/>
            <w:vAlign w:val="bottom"/>
            <w:hideMark/>
          </w:tcPr>
          <w:p w:rsidR="00D76DB7" w:rsidRPr="00D76DB7" w:rsidP="00A40503">
            <w:pPr>
              <w:spacing w:after="0" w:line="480" w:lineRule="auto"/>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 xml:space="preserve">Inhibitor </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2.083333333</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2.949852507</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12.35635735</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4.166666667</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1.340482574</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6.729475101</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6.25</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4.045307443</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11.11111111</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10.41666667</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4.87804878</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13.14060447</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center"/>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#DIV/0!</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center"/>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#DIV/0!</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center"/>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#DIV/0!</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20.83333333</w:t>
            </w: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7.56429652</w:t>
            </w: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r w:rsidRPr="00D76DB7">
              <w:rPr>
                <w:rFonts w:ascii="Times New Roman" w:eastAsia="Times New Roman" w:hAnsi="Times New Roman" w:cs="Times New Roman"/>
                <w:color w:val="000000"/>
                <w:sz w:val="24"/>
                <w:szCs w:val="24"/>
              </w:rPr>
              <w:t>14.99250375</w:t>
            </w:r>
          </w:p>
        </w:tc>
      </w:tr>
      <w:tr w:rsidTr="00D76DB7">
        <w:tblPrEx>
          <w:tblW w:w="5380" w:type="dxa"/>
          <w:tblLook w:val="04A0"/>
        </w:tblPrEx>
        <w:trPr>
          <w:trHeight w:val="300"/>
        </w:trPr>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jc w:val="right"/>
              <w:rPr>
                <w:rFonts w:ascii="Times New Roman" w:eastAsia="Times New Roman" w:hAnsi="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D76DB7" w:rsidRPr="00D76DB7" w:rsidP="00A40503">
            <w:pPr>
              <w:spacing w:after="0" w:line="480" w:lineRule="auto"/>
              <w:rPr>
                <w:rFonts w:ascii="Times New Roman" w:eastAsia="Times New Roman" w:hAnsi="Times New Roman" w:cs="Times New Roman"/>
                <w:sz w:val="24"/>
                <w:szCs w:val="24"/>
              </w:rPr>
            </w:pPr>
          </w:p>
        </w:tc>
        <w:tc>
          <w:tcPr>
            <w:tcW w:w="1580" w:type="dxa"/>
            <w:tcBorders>
              <w:top w:val="nil"/>
              <w:left w:val="nil"/>
              <w:bottom w:val="nil"/>
              <w:right w:val="nil"/>
            </w:tcBorders>
            <w:shd w:val="clear" w:color="auto" w:fill="auto"/>
            <w:noWrap/>
            <w:vAlign w:val="bottom"/>
            <w:hideMark/>
          </w:tcPr>
          <w:p w:rsidR="00D76DB7" w:rsidRPr="00D76DB7" w:rsidP="00A40503">
            <w:pPr>
              <w:spacing w:after="0" w:line="480" w:lineRule="auto"/>
              <w:rPr>
                <w:rFonts w:ascii="Times New Roman" w:eastAsia="Times New Roman" w:hAnsi="Times New Roman" w:cs="Times New Roman"/>
                <w:sz w:val="24"/>
                <w:szCs w:val="24"/>
              </w:rPr>
            </w:pPr>
          </w:p>
        </w:tc>
      </w:tr>
    </w:tbl>
    <w:p w:rsidR="00DA58D9"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I also obtained the reciprocal of both the maximum velocity and Michaelis-Menten constant, as shown below in the presence of an inhibitor and its absence.
</w:t>
      </w:r>
    </w:p>
    <w:tbl>
      <w:tblPr>
        <w:tblW w:w="9176" w:type="dxa"/>
        <w:tblLook w:val="04A0"/>
      </w:tblPr>
      <w:tblGrid>
        <w:gridCol w:w="1916"/>
        <w:gridCol w:w="1916"/>
        <w:gridCol w:w="1596"/>
        <w:gridCol w:w="1836"/>
        <w:gridCol w:w="1056"/>
        <w:gridCol w:w="956"/>
      </w:tblGrid>
      <w:tr w:rsidTr="00DA58D9">
        <w:tblPrEx>
          <w:tblW w:w="9176" w:type="dxa"/>
          <w:tblLook w:val="04A0"/>
        </w:tblPrEx>
        <w:trPr>
          <w:trHeight w:val="300"/>
        </w:trPr>
        <w:tc>
          <w:tcPr>
            <w:tcW w:w="1916" w:type="dxa"/>
            <w:tcBorders>
              <w:top w:val="nil"/>
              <w:left w:val="nil"/>
              <w:bottom w:val="nil"/>
              <w:right w:val="nil"/>
            </w:tcBorders>
            <w:shd w:val="clear" w:color="000000" w:fill="FFF2CC"/>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1/Km (set y=0)</w:t>
            </w:r>
          </w:p>
        </w:tc>
        <w:tc>
          <w:tcPr>
            <w:tcW w:w="1916" w:type="dxa"/>
            <w:tcBorders>
              <w:top w:val="nil"/>
              <w:left w:val="nil"/>
              <w:bottom w:val="nil"/>
              <w:right w:val="nil"/>
            </w:tcBorders>
            <w:shd w:val="clear" w:color="000000" w:fill="FFF2CC"/>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1/Vmax (set x=0)</w:t>
            </w:r>
          </w:p>
        </w:tc>
        <w:tc>
          <w:tcPr>
            <w:tcW w:w="1596" w:type="dxa"/>
            <w:tcBorders>
              <w:top w:val="nil"/>
              <w:left w:val="nil"/>
              <w:bottom w:val="nil"/>
              <w:right w:val="nil"/>
            </w:tcBorders>
            <w:shd w:val="clear" w:color="000000" w:fill="FFF2CC"/>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Km (1/ (-1/Km)</w:t>
            </w:r>
          </w:p>
        </w:tc>
        <w:tc>
          <w:tcPr>
            <w:tcW w:w="1836" w:type="dxa"/>
            <w:tcBorders>
              <w:top w:val="nil"/>
              <w:left w:val="nil"/>
              <w:bottom w:val="nil"/>
              <w:right w:val="nil"/>
            </w:tcBorders>
            <w:shd w:val="clear" w:color="000000" w:fill="FFF2CC"/>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Vmax (1/ (1/Vmax))</w:t>
            </w:r>
          </w:p>
        </w:tc>
        <w:tc>
          <w:tcPr>
            <w:tcW w:w="95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p>
        </w:tc>
        <w:tc>
          <w:tcPr>
            <w:tcW w:w="95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r>
      <w:tr w:rsidTr="00DA58D9">
        <w:tblPrEx>
          <w:tblW w:w="9176" w:type="dxa"/>
          <w:tblLook w:val="04A0"/>
        </w:tblPrEx>
        <w:trPr>
          <w:trHeight w:val="300"/>
        </w:trPr>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-3.191946715</w:t>
            </w:r>
          </w:p>
        </w:tc>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1.0543</w:t>
            </w:r>
          </w:p>
        </w:tc>
        <w:tc>
          <w:tcPr>
            <w:tcW w:w="159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0.313288438</w:t>
            </w:r>
          </w:p>
        </w:tc>
        <w:tc>
          <w:tcPr>
            <w:tcW w:w="183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0.948496633</w:t>
            </w:r>
          </w:p>
        </w:tc>
        <w:tc>
          <w:tcPr>
            <w:tcW w:w="1912" w:type="dxa"/>
            <w:gridSpan w:val="2"/>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No inhibitor</w:t>
            </w:r>
          </w:p>
        </w:tc>
      </w:tr>
      <w:tr w:rsidTr="00DA58D9">
        <w:tblPrEx>
          <w:tblW w:w="9176" w:type="dxa"/>
          <w:tblLook w:val="04A0"/>
        </w:tblPrEx>
        <w:trPr>
          <w:trHeight w:val="300"/>
        </w:trPr>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-11.49371981</w:t>
            </w:r>
          </w:p>
        </w:tc>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5.948</w:t>
            </w:r>
          </w:p>
        </w:tc>
        <w:tc>
          <w:tcPr>
            <w:tcW w:w="159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0.087004035</w:t>
            </w:r>
          </w:p>
        </w:tc>
        <w:tc>
          <w:tcPr>
            <w:tcW w:w="1836" w:type="dxa"/>
            <w:tcBorders>
              <w:top w:val="nil"/>
              <w:left w:val="nil"/>
              <w:bottom w:val="nil"/>
              <w:right w:val="nil"/>
            </w:tcBorders>
            <w:shd w:val="clear" w:color="auto" w:fill="auto"/>
            <w:noWrap/>
            <w:vAlign w:val="bottom"/>
            <w:hideMark/>
          </w:tcPr>
          <w:p w:rsidR="00DA58D9" w:rsidRPr="00DA58D9" w:rsidP="00A40503">
            <w:pPr>
              <w:spacing w:after="0" w:line="480" w:lineRule="auto"/>
              <w:jc w:val="right"/>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0.168123739</w:t>
            </w:r>
          </w:p>
        </w:tc>
        <w:tc>
          <w:tcPr>
            <w:tcW w:w="95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r w:rsidRPr="00DA58D9">
              <w:rPr>
                <w:rFonts w:ascii="Times New Roman" w:eastAsia="Times New Roman" w:hAnsi="Times New Roman" w:cs="Times New Roman"/>
                <w:color w:val="000000"/>
                <w:sz w:val="24"/>
                <w:szCs w:val="24"/>
              </w:rPr>
              <w:t>Inhibitor</w:t>
            </w:r>
          </w:p>
        </w:tc>
        <w:tc>
          <w:tcPr>
            <w:tcW w:w="95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color w:val="000000"/>
                <w:sz w:val="24"/>
                <w:szCs w:val="24"/>
              </w:rPr>
            </w:pPr>
          </w:p>
        </w:tc>
      </w:tr>
      <w:tr w:rsidTr="00DA58D9">
        <w:tblPrEx>
          <w:tblW w:w="9176" w:type="dxa"/>
          <w:tblLook w:val="04A0"/>
        </w:tblPrEx>
        <w:trPr>
          <w:trHeight w:val="300"/>
        </w:trPr>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c>
          <w:tcPr>
            <w:tcW w:w="191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c>
          <w:tcPr>
            <w:tcW w:w="159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c>
          <w:tcPr>
            <w:tcW w:w="183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c>
          <w:tcPr>
            <w:tcW w:w="956" w:type="dxa"/>
            <w:tcBorders>
              <w:top w:val="nil"/>
              <w:left w:val="nil"/>
              <w:bottom w:val="nil"/>
              <w:right w:val="nil"/>
            </w:tcBorders>
            <w:shd w:val="clear" w:color="auto" w:fill="auto"/>
            <w:noWrap/>
            <w:vAlign w:val="bottom"/>
            <w:hideMark/>
          </w:tcPr>
          <w:p w:rsidR="00DA58D9" w:rsidRPr="00DA58D9" w:rsidP="00A40503">
            <w:pPr>
              <w:spacing w:after="0" w:line="480" w:lineRule="auto"/>
              <w:rPr>
                <w:rFonts w:ascii="Times New Roman" w:eastAsia="Times New Roman" w:hAnsi="Times New Roman" w:cs="Times New Roman"/>
                <w:sz w:val="24"/>
                <w:szCs w:val="24"/>
              </w:rPr>
            </w:pPr>
          </w:p>
        </w:tc>
        <w:tc>
          <w:tcPr>
            <w:tcW w:w="956" w:type="dxa"/>
            <w:tcBorders>
              <w:top w:val="nil"/>
              <w:left w:val="nil"/>
              <w:bottom w:val="nil"/>
              <w:right w:val="nil"/>
            </w:tcBorders>
            <w:shd w:val="clear" w:color="auto" w:fill="auto"/>
            <w:noWrap/>
            <w:vAlign w:val="bottom"/>
            <w:hideMark/>
          </w:tcPr>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A40503" w:rsidP="00A40503">
            <w:pPr>
              <w:spacing w:after="0" w:line="480" w:lineRule="auto"/>
              <w:rPr>
                <w:rFonts w:ascii="Times New Roman" w:eastAsia="Times New Roman" w:hAnsi="Times New Roman" w:cs="Times New Roman"/>
                <w:sz w:val="24"/>
                <w:szCs w:val="24"/>
              </w:rPr>
            </w:pPr>
          </w:p>
          <w:p w:rsidR="00DA58D9" w:rsidRPr="00DA58D9" w:rsidP="00A40503">
            <w:pPr>
              <w:spacing w:after="0" w:line="480" w:lineRule="auto"/>
              <w:rPr>
                <w:rFonts w:ascii="Times New Roman" w:eastAsia="Times New Roman" w:hAnsi="Times New Roman" w:cs="Times New Roman"/>
                <w:sz w:val="24"/>
                <w:szCs w:val="24"/>
              </w:rPr>
            </w:pPr>
          </w:p>
        </w:tc>
      </w:tr>
    </w:tbl>
    <w:p w:rsidR="006274FF"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Below I plotted a graph of 1/v against 1/C, and the graph is as shown:
</w:t>
      </w:r>
    </w:p>
    <w:p w:rsidR="003974CC"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noProof/>
          <w:sz w:val="24"/>
          <w:szCs w:val="24"/>
        </w:rPr>
        <w:drawing>
          <wp:inline distT="0" distB="0" distL="0" distR="0">
            <wp:extent cx="4419600" cy="2857500"/>
            <wp:effectExtent l="0" t="0" r="0" b="0"/>
            <wp:docPr id="2" name="Chart 2">
              <a:extLst xmlns:a="http://schemas.openxmlformats.org/drawingml/2006/main">
                <a:ext xmlns:a="http://schemas.openxmlformats.org/drawingml/2006/main" uri="{FF2B5EF4-FFF2-40B4-BE49-F238E27FC236}">
                  <a16:creationId xmlns="" xmlns:a16="http://schemas.microsoft.com/office/drawing/2014/main" xmlns:lc="http://schemas.openxmlformats.org/drawingml/2006/lockedCanvas" xmlns:xdr="http://schemas.openxmlformats.org/drawingml/2006/spreadsheetDrawing" id="{6427A008-78BD-426E-93DC-426768EDB2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974CC" w:rsidRPr="00A40503" w:rsidP="00A40503">
      <w:pPr>
        <w:tabs>
          <w:tab w:val="left" w:pos="4005"/>
        </w:tabs>
        <w:spacing w:line="480" w:lineRule="auto"/>
        <w:rPr>
          <w:rFonts w:ascii="Times New Roman" w:hAnsi="Times New Roman" w:cs="Times New Roman"/>
          <w:sz w:val="24"/>
          <w:szCs w:val="24"/>
        </w:rPr>
      </w:pPr>
      <w:r w:rsidRPr="00A40503">
        <w:rPr>
          <w:rFonts w:ascii="Times New Roman" w:hAnsi="Times New Roman" w:cs="Times New Roman"/>
          <w:sz w:val="24"/>
          <w:szCs w:val="24"/>
        </w:rPr>
        <w:t>The graph for the reaction in the presence of the inhibitor starts when 1/V=6 and in the absence of the inhibitor when 1/V=1.
</w:t>
      </w:r>
    </w:p>
    <w:p w:rsidR="003974CC" w:rsidRPr="00A40503" w:rsidP="00A40503">
      <w:pPr>
        <w:tabs>
          <w:tab w:val="left" w:pos="4005"/>
        </w:tabs>
        <w:spacing w:line="480" w:lineRule="auto"/>
        <w:rPr>
          <w:rFonts w:ascii="Times New Roman" w:hAnsi="Times New Roman" w:cs="Times New Roman"/>
          <w:sz w:val="24"/>
          <w:szCs w:val="24"/>
        </w:rPr>
      </w:pPr>
      <w:bookmarkStart w:id="0" w:name="_GoBack"/>
      <w:bookmarkEnd w:id="0"/>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84398609"/>
      <w:docPartObj>
        <w:docPartGallery w:val="Page Numbers (Top of Page)"/>
        <w:docPartUnique/>
      </w:docPartObj>
    </w:sdtPr>
    <w:sdtEndPr>
      <w:rPr>
        <w:noProof/>
      </w:rPr>
    </w:sdtEndPr>
    <w:sdtContent>
      <w:p w:rsidR="00A40503" w:rsidP="00A40503">
        <w:pPr>
          <w:pStyle w:val="Header"/>
        </w:pPr>
        <w:r>
          <w:t>Role of the enzyme in the cell</w:t>
        </w:r>
        <w:r>
          <w:tab/>
        </w:r>
        <w:r>
          <w:tab/>
        </w:r>
        <w:r>
          <w:fldChar w:fldCharType="begin"/>
        </w:r>
        <w:r>
          <w:instrText xml:space="preserve"> PAGE   \* MERGEFORMAT </w:instrText>
        </w:r>
        <w:r>
          <w:fldChar w:fldCharType="separate"/>
        </w:r>
        <w:r w:rsidR="00060D8C">
          <w:rPr>
            <w:noProof/>
          </w:rPr>
          <w:t>4</w:t>
        </w:r>
        <w:r>
          <w:rPr>
            <w:noProof/>
          </w:rPr>
          <w:fldChar w:fldCharType="end"/>
        </w:r>
      </w:p>
    </w:sdtContent>
  </w:sdt>
  <w:p w:rsidR="00A405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8FF"/>
    <w:rsid w:val="00060D8C"/>
    <w:rsid w:val="00193DDC"/>
    <w:rsid w:val="00325356"/>
    <w:rsid w:val="00345792"/>
    <w:rsid w:val="003974CC"/>
    <w:rsid w:val="00397E06"/>
    <w:rsid w:val="003F134E"/>
    <w:rsid w:val="004C2E4B"/>
    <w:rsid w:val="006076F2"/>
    <w:rsid w:val="006274FF"/>
    <w:rsid w:val="009208FF"/>
    <w:rsid w:val="00A40503"/>
    <w:rsid w:val="00BD0B4F"/>
    <w:rsid w:val="00D76DB7"/>
    <w:rsid w:val="00DA58D9"/>
    <w:rsid w:val="00E320AF"/>
    <w:rsid w:val="00ED1890"/>
    <w:rsid w:val="00F83D90"/>
    <w:rsid w:val="00FA72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8625B5E-8288-461C-8C96-3E2F67B1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3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0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503"/>
  </w:style>
  <w:style w:type="paragraph" w:styleId="Footer">
    <w:name w:val="footer"/>
    <w:basedOn w:val="Normal"/>
    <w:link w:val="FooterChar"/>
    <w:uiPriority w:val="99"/>
    <w:unhideWhenUsed/>
    <w:rsid w:val="00A40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chart" Target="charts/chart2.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charts/_rels/chart1.xml.rels>&#65279;<?xml version="1.0" encoding="utf-8" standalone="yes"?><Relationships xmlns="http://schemas.openxmlformats.org/package/2006/relationships"><Relationship Id="rId1" Type="http://schemas.openxmlformats.org/officeDocument/2006/relationships/oleObject" Target="../embeddings/OleObject1.bin" /><Relationship Id="rId2" Type="http://schemas.openxmlformats.org/officeDocument/2006/relationships/themeOverride" Target="../theme/themeOverride1.xml" /><Relationship Id="rId3" Type="http://schemas.microsoft.com/office/2011/relationships/chartColorStyle" Target="chart/colors1.xml" /><Relationship Id="rId4" Type="http://schemas.microsoft.com/office/2011/relationships/chartStyle" Target="chart/style1.xml" /></Relationships>
</file>

<file path=word/charts/_rels/chart2.xml.rels>&#65279;<?xml version="1.0" encoding="utf-8" standalone="yes"?><Relationships xmlns="http://schemas.openxmlformats.org/package/2006/relationships"><Relationship Id="rId1" Type="http://schemas.openxmlformats.org/officeDocument/2006/relationships/oleObject" Target="../embeddings/OleObject2.bin" /><Relationship Id="rId2" Type="http://schemas.microsoft.com/office/2011/relationships/chartColorStyle" Target="chart/colors2.xml" /><Relationship Id="rId3" Type="http://schemas.microsoft.com/office/2011/relationships/chartStyle" Target="chart/style2.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09845603674540683"/>
          <c:y val="0.037037037037037035"/>
          <c:w val="0.82183573928258968"/>
          <c:h val="0.63759988334791484"/>
        </c:manualLayout>
      </c:layout>
      <c:scatterChart>
        <c:scatterStyle val="lineMarker"/>
        <c:varyColors val="0"/>
        <c:ser>
          <c:idx val="0"/>
          <c:order val="0"/>
          <c:tx>
            <c:v>inhibitor</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og"/>
            <c:dispRSqr val="0"/>
            <c:dispEq val="0"/>
          </c:trendline>
          <c:xVal>
            <c:numRef>
              <c:f>'[Copy of Module B3 Graphing.xlsx]Example Graphing'!$A$2:$A$7</c:f>
              <c:numCache>
                <c:formatCode>General</c:formatCode>
                <c:ptCount val="6"/>
                <c:pt idx="0">
                  <c:v>0.48</c:v>
                </c:pt>
                <c:pt idx="1">
                  <c:v>0.24</c:v>
                </c:pt>
                <c:pt idx="2">
                  <c:v>0.16</c:v>
                </c:pt>
                <c:pt idx="3">
                  <c:v>0.096</c:v>
                </c:pt>
                <c:pt idx="5">
                  <c:v>0.048</c:v>
                </c:pt>
              </c:numCache>
            </c:numRef>
          </c:xVal>
          <c:yVal>
            <c:numRef>
              <c:f>'[Copy of Module B3 Graphing.xlsx]Example Graphing'!$C$2:$C$8</c:f>
              <c:numCache>
                <c:formatCode>General</c:formatCode>
                <c:ptCount val="7"/>
                <c:pt idx="0">
                  <c:v>0.08093</c:v>
                </c:pt>
                <c:pt idx="1">
                  <c:v>0.1486</c:v>
                </c:pt>
                <c:pt idx="2">
                  <c:v>0.09</c:v>
                </c:pt>
                <c:pt idx="3">
                  <c:v>0.0761</c:v>
                </c:pt>
                <c:pt idx="5">
                  <c:v>0.0667</c:v>
                </c:pt>
                <c:pt idx="6">
                  <c:v>0</c:v>
                </c:pt>
              </c:numCache>
            </c:numRef>
          </c:yVal>
          <c:smooth val="0"/>
          <c:extLst>
            <c:ext xmlns:c="http://schemas.openxmlformats.org/drawingml/2006/chart" xmlns:c16="http://schemas.microsoft.com/office/drawing/2014/chart" uri="{C3380CC4-5D6E-409C-BE32-E72D297353CC}">
              <c16:uniqueId val="{00000003-661A-48A4-800C-A32603BE34E5}"/>
            </c:ext>
          </c:extLst>
        </c:ser>
        <c:ser>
          <c:idx val="1"/>
          <c:order val="1"/>
          <c:tx>
            <c:v>no inhibitor</c:v>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og"/>
            <c:dispRSqr val="0"/>
            <c:dispEq val="0"/>
          </c:trendline>
          <c:xVal>
            <c:numRef>
              <c:f>'[Copy of Module B3 Graphing.xlsx]Example Graphing'!$A$2:$A$7</c:f>
              <c:numCache>
                <c:formatCode>General</c:formatCode>
                <c:ptCount val="6"/>
                <c:pt idx="0">
                  <c:v>0.48</c:v>
                </c:pt>
                <c:pt idx="1">
                  <c:v>0.24</c:v>
                </c:pt>
                <c:pt idx="2">
                  <c:v>0.16</c:v>
                </c:pt>
                <c:pt idx="3">
                  <c:v>0.096</c:v>
                </c:pt>
                <c:pt idx="5">
                  <c:v>0.048</c:v>
                </c:pt>
              </c:numCache>
            </c:numRef>
          </c:xVal>
          <c:yVal>
            <c:numRef>
              <c:f>'[Copy of Module B3 Graphing.xlsx]Example Graphing'!$B$2:$B$7</c:f>
              <c:numCache>
                <c:formatCode>General</c:formatCode>
                <c:ptCount val="6"/>
                <c:pt idx="0">
                  <c:v>0.339</c:v>
                </c:pt>
                <c:pt idx="1">
                  <c:v>0.746</c:v>
                </c:pt>
                <c:pt idx="2">
                  <c:v>0.2472</c:v>
                </c:pt>
                <c:pt idx="3">
                  <c:v>0.205</c:v>
                </c:pt>
                <c:pt idx="5">
                  <c:v>0.1322</c:v>
                </c:pt>
              </c:numCache>
            </c:numRef>
          </c:yVal>
          <c:smooth val="0"/>
          <c:extLst>
            <c:ext xmlns:c="http://schemas.openxmlformats.org/drawingml/2006/chart" xmlns:c16="http://schemas.microsoft.com/office/drawing/2014/chart" uri="{C3380CC4-5D6E-409C-BE32-E72D297353CC}">
              <c16:uniqueId val="{00000004-661A-48A4-800C-A32603BE34E5}"/>
            </c:ext>
          </c:extLst>
        </c:ser>
        <c:dLbls>
          <c:showLegendKey val="0"/>
          <c:showVal val="0"/>
          <c:showCatName val="0"/>
          <c:showSerName val="0"/>
          <c:showPercent val="0"/>
          <c:showBubbleSize val="0"/>
        </c:dLbls>
        <c:axId val="-1412984544"/>
        <c:axId val="-1412977472"/>
      </c:scatterChart>
      <c:valAx>
        <c:axId val="-1412984544"/>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a:t>
                </a:r>
                <a:r>
                  <a:rPr lang="en-US" baseline="0"/>
                  <a:t> (mM)</a:t>
                </a:r>
                <a:endParaRPr lang="en-US"/>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2977472"/>
        <c:crosses val="autoZero"/>
        <c:crossBetween val="midCat"/>
      </c:valAx>
      <c:valAx>
        <c:axId val="-1412977472"/>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Rate</a:t>
                </a:r>
                <a:r>
                  <a:rPr lang="en-US" baseline="0"/>
                  <a:t> (uM/s)</a:t>
                </a:r>
                <a:endParaRPr lang="en-US"/>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2984544"/>
        <c:crosses val="autoZero"/>
        <c:crossBetween val="midCat"/>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inhibitor </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1"/>
            <c:trendlineLbl>
              <c:layout>
                <c:manualLayout>
                  <c:x val="-0.16763167104111992"/>
                  <c:y val="0.02928587051618547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'[Copy of Module B3 Graphing.xlsx]Example Graphing'!$A$15:$A$20</c:f>
              <c:numCache>
                <c:formatCode>General</c:formatCode>
                <c:ptCount val="6"/>
                <c:pt idx="0">
                  <c:v>2.0833333333333335</c:v>
                </c:pt>
                <c:pt idx="1">
                  <c:v>4.166666666666667</c:v>
                </c:pt>
                <c:pt idx="2">
                  <c:v>6.25</c:v>
                </c:pt>
                <c:pt idx="3">
                  <c:v>10.416666666666666</c:v>
                </c:pt>
                <c:pt idx="4">
                  <c:v>0</c:v>
                </c:pt>
                <c:pt idx="5">
                  <c:v>20.833333333333332</c:v>
                </c:pt>
              </c:numCache>
            </c:numRef>
          </c:xVal>
          <c:yVal>
            <c:numRef>
              <c:f>'[Copy of Module B3 Graphing.xlsx]Example Graphing'!$C$15:$C$20</c:f>
              <c:numCache>
                <c:formatCode>General</c:formatCode>
                <c:ptCount val="6"/>
                <c:pt idx="0">
                  <c:v>12.356357345854441</c:v>
                </c:pt>
                <c:pt idx="1">
                  <c:v>6.7294751009421256</c:v>
                </c:pt>
                <c:pt idx="2">
                  <c:v>11.111111111111111</c:v>
                </c:pt>
                <c:pt idx="3">
                  <c:v>13.140604467805518</c:v>
                </c:pt>
                <c:pt idx="4">
                  <c:v>0</c:v>
                </c:pt>
                <c:pt idx="5">
                  <c:v>14.992503748125937</c:v>
                </c:pt>
              </c:numCache>
            </c:numRef>
          </c:yVal>
          <c:smooth val="0"/>
          <c:extLst>
            <c:ext xmlns:c="http://schemas.openxmlformats.org/drawingml/2006/chart" xmlns:c16="http://schemas.microsoft.com/office/drawing/2014/chart" uri="{C3380CC4-5D6E-409C-BE32-E72D297353CC}">
              <c16:uniqueId val="{00000000-79B6-44FC-BBFE-9A5CBEC8A785}"/>
            </c:ext>
          </c:extLst>
        </c:ser>
        <c:ser>
          <c:idx val="1"/>
          <c:order val="1"/>
          <c:tx>
            <c:v>no inhibitor</c:v>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0"/>
            <c:dispEq val="1"/>
            <c:trendlineLbl>
              <c:layout>
                <c:manualLayout>
                  <c:x val="0.014643250067137455"/>
                  <c:y val="0.250865472213786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'[Copy of Module B3 Graphing.xlsx]Example Graphing'!$A$15:$A$20</c:f>
              <c:numCache>
                <c:formatCode>General</c:formatCode>
                <c:ptCount val="6"/>
                <c:pt idx="0">
                  <c:v>2.0833333333333335</c:v>
                </c:pt>
                <c:pt idx="1">
                  <c:v>4.166666666666667</c:v>
                </c:pt>
                <c:pt idx="2">
                  <c:v>6.25</c:v>
                </c:pt>
                <c:pt idx="3">
                  <c:v>10.416666666666666</c:v>
                </c:pt>
                <c:pt idx="4">
                  <c:v>0</c:v>
                </c:pt>
                <c:pt idx="5">
                  <c:v>20.833333333333332</c:v>
                </c:pt>
              </c:numCache>
            </c:numRef>
          </c:xVal>
          <c:yVal>
            <c:numRef>
              <c:f>'[Copy of Module B3 Graphing.xlsx]Example Graphing'!$B$15:$B$20</c:f>
              <c:numCache>
                <c:formatCode>General</c:formatCode>
                <c:ptCount val="6"/>
                <c:pt idx="0">
                  <c:v>2.9498525073746311</c:v>
                </c:pt>
                <c:pt idx="1">
                  <c:v>1.3404825737265416</c:v>
                </c:pt>
                <c:pt idx="2">
                  <c:v>4.0453074433656955</c:v>
                </c:pt>
                <c:pt idx="3">
                  <c:v>4.8780487804878048</c:v>
                </c:pt>
                <c:pt idx="4">
                  <c:v>0</c:v>
                </c:pt>
                <c:pt idx="5">
                  <c:v>7.5642965204236</c:v>
                </c:pt>
              </c:numCache>
            </c:numRef>
          </c:yVal>
          <c:smooth val="0"/>
          <c:extLst>
            <c:ext xmlns:c="http://schemas.openxmlformats.org/drawingml/2006/chart" xmlns:c16="http://schemas.microsoft.com/office/drawing/2014/chart" uri="{C3380CC4-5D6E-409C-BE32-E72D297353CC}">
              <c16:uniqueId val="{00000001-79B6-44FC-BBFE-9A5CBEC8A785}"/>
            </c:ext>
          </c:extLst>
        </c:ser>
        <c:dLbls>
          <c:showLegendKey val="0"/>
          <c:showVal val="0"/>
          <c:showCatName val="0"/>
          <c:showSerName val="0"/>
          <c:showPercent val="0"/>
          <c:showBubbleSize val="0"/>
        </c:dLbls>
        <c:axId val="-1412976928"/>
        <c:axId val="-1412975296"/>
      </c:scatterChart>
      <c:valAx>
        <c:axId val="-1412976928"/>
        <c:scaling>
          <c:orientation val="minMax"/>
        </c:scaling>
        <c:delete val="0"/>
        <c:axPos val="b"/>
        <c:majorGridlines>
          <c:spPr>
            <a:ln w="9525">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1/Concentration</a:t>
                </a:r>
                <a:r>
                  <a:rPr lang="en-US" baseline="0"/>
                  <a:t> (mM)</a:t>
                </a:r>
                <a:endParaRPr lang="en-US"/>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2975296"/>
        <c:crosses val="autoZero"/>
        <c:crossBetween val="midCat"/>
      </c:valAx>
      <c:valAx>
        <c:axId val="-1412975296"/>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1/V</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2976928"/>
        <c:crosses val="autoZero"/>
        <c:crossBetween val="midCat"/>
      </c:valAx>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165</TotalTime>
  <Pages>5</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dcterms:created xsi:type="dcterms:W3CDTF">2019-09-22T12:10:00Z</dcterms:created>
  <dcterms:modified xsi:type="dcterms:W3CDTF">2019-09-22T14:55:00Z</dcterms:modified>
</cp:coreProperties>
</file>