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6C37" w:rsidRPr="00E70550" w:rsidRDefault="00EC6C37" w:rsidP="008F26C3">
      <w:pPr>
        <w:shd w:val="clear" w:color="auto" w:fill="FFFFFF"/>
        <w:spacing w:after="0" w:line="480" w:lineRule="auto"/>
        <w:jc w:val="center"/>
        <w:outlineLvl w:val="0"/>
        <w:rPr>
          <w:rFonts w:ascii="Times New Roman" w:eastAsia="Times New Roman" w:hAnsi="Times New Roman" w:cs="Times New Roman"/>
          <w:b/>
          <w:kern w:val="36"/>
          <w:sz w:val="24"/>
          <w:szCs w:val="24"/>
        </w:rPr>
      </w:pPr>
      <w:bookmarkStart w:id="0" w:name="_GoBack"/>
    </w:p>
    <w:p w:rsidR="00EC6C37" w:rsidRPr="00E70550" w:rsidRDefault="00EC6C37" w:rsidP="008F26C3">
      <w:pPr>
        <w:shd w:val="clear" w:color="auto" w:fill="FFFFFF"/>
        <w:spacing w:after="0" w:line="480" w:lineRule="auto"/>
        <w:jc w:val="center"/>
        <w:outlineLvl w:val="0"/>
        <w:rPr>
          <w:rFonts w:ascii="Times New Roman" w:eastAsia="Times New Roman" w:hAnsi="Times New Roman" w:cs="Times New Roman"/>
          <w:b/>
          <w:kern w:val="36"/>
          <w:sz w:val="24"/>
          <w:szCs w:val="24"/>
        </w:rPr>
      </w:pPr>
    </w:p>
    <w:p w:rsidR="00EC6C37" w:rsidRPr="00E70550" w:rsidRDefault="00EC6C37" w:rsidP="008F26C3">
      <w:pPr>
        <w:shd w:val="clear" w:color="auto" w:fill="FFFFFF"/>
        <w:spacing w:after="0" w:line="480" w:lineRule="auto"/>
        <w:jc w:val="center"/>
        <w:outlineLvl w:val="0"/>
        <w:rPr>
          <w:rFonts w:ascii="Times New Roman" w:eastAsia="Times New Roman" w:hAnsi="Times New Roman" w:cs="Times New Roman"/>
          <w:b/>
          <w:kern w:val="36"/>
          <w:sz w:val="24"/>
          <w:szCs w:val="24"/>
        </w:rPr>
      </w:pPr>
    </w:p>
    <w:p w:rsidR="00EC6C37" w:rsidRPr="00E70550" w:rsidRDefault="00EC6C37" w:rsidP="008F26C3">
      <w:pPr>
        <w:shd w:val="clear" w:color="auto" w:fill="FFFFFF"/>
        <w:spacing w:after="0" w:line="480" w:lineRule="auto"/>
        <w:jc w:val="center"/>
        <w:outlineLvl w:val="0"/>
        <w:rPr>
          <w:rFonts w:ascii="Times New Roman" w:eastAsia="Times New Roman" w:hAnsi="Times New Roman" w:cs="Times New Roman"/>
          <w:b/>
          <w:kern w:val="36"/>
          <w:sz w:val="24"/>
          <w:szCs w:val="24"/>
        </w:rPr>
      </w:pPr>
    </w:p>
    <w:p w:rsidR="00EC6C37" w:rsidRPr="00E70550" w:rsidRDefault="00EC6C37" w:rsidP="008F26C3">
      <w:pPr>
        <w:shd w:val="clear" w:color="auto" w:fill="FFFFFF"/>
        <w:spacing w:after="0" w:line="480" w:lineRule="auto"/>
        <w:jc w:val="center"/>
        <w:outlineLvl w:val="0"/>
        <w:rPr>
          <w:rFonts w:ascii="Times New Roman" w:eastAsia="Times New Roman" w:hAnsi="Times New Roman" w:cs="Times New Roman"/>
          <w:b/>
          <w:kern w:val="36"/>
          <w:sz w:val="24"/>
          <w:szCs w:val="24"/>
        </w:rPr>
      </w:pPr>
    </w:p>
    <w:p w:rsidR="00EC6C37" w:rsidRPr="00E70550" w:rsidRDefault="00EC6C37" w:rsidP="008F26C3">
      <w:pPr>
        <w:shd w:val="clear" w:color="auto" w:fill="FFFFFF"/>
        <w:spacing w:after="0" w:line="480" w:lineRule="auto"/>
        <w:jc w:val="center"/>
        <w:outlineLvl w:val="0"/>
        <w:rPr>
          <w:rFonts w:ascii="Times New Roman" w:eastAsia="Times New Roman" w:hAnsi="Times New Roman" w:cs="Times New Roman"/>
          <w:b/>
          <w:kern w:val="36"/>
          <w:sz w:val="24"/>
          <w:szCs w:val="24"/>
        </w:rPr>
      </w:pPr>
    </w:p>
    <w:p w:rsidR="00EC6C37" w:rsidRPr="00E70550" w:rsidRDefault="00EC6C37" w:rsidP="008F26C3">
      <w:pPr>
        <w:shd w:val="clear" w:color="auto" w:fill="FFFFFF"/>
        <w:spacing w:after="0" w:line="480" w:lineRule="auto"/>
        <w:jc w:val="center"/>
        <w:outlineLvl w:val="0"/>
        <w:rPr>
          <w:rFonts w:ascii="Times New Roman" w:eastAsia="Times New Roman" w:hAnsi="Times New Roman" w:cs="Times New Roman"/>
          <w:b/>
          <w:kern w:val="36"/>
          <w:sz w:val="24"/>
          <w:szCs w:val="24"/>
        </w:rPr>
      </w:pPr>
    </w:p>
    <w:p w:rsidR="00EC6C37" w:rsidRPr="00E70550" w:rsidRDefault="00EC6C37" w:rsidP="008F26C3">
      <w:pPr>
        <w:shd w:val="clear" w:color="auto" w:fill="FFFFFF"/>
        <w:spacing w:after="0" w:line="480" w:lineRule="auto"/>
        <w:jc w:val="center"/>
        <w:outlineLvl w:val="0"/>
        <w:rPr>
          <w:rFonts w:ascii="Times New Roman" w:eastAsia="Times New Roman" w:hAnsi="Times New Roman" w:cs="Times New Roman"/>
          <w:b/>
          <w:kern w:val="36"/>
          <w:sz w:val="24"/>
          <w:szCs w:val="24"/>
        </w:rPr>
      </w:pPr>
    </w:p>
    <w:p w:rsidR="00EC6C37" w:rsidRPr="00E70550" w:rsidRDefault="00EC6C37" w:rsidP="008F26C3">
      <w:pPr>
        <w:shd w:val="clear" w:color="auto" w:fill="FFFFFF"/>
        <w:spacing w:after="0" w:line="480" w:lineRule="auto"/>
        <w:jc w:val="center"/>
        <w:outlineLvl w:val="0"/>
        <w:rPr>
          <w:rFonts w:ascii="Times New Roman" w:eastAsia="Times New Roman" w:hAnsi="Times New Roman" w:cs="Times New Roman"/>
          <w:kern w:val="36"/>
          <w:sz w:val="24"/>
          <w:szCs w:val="24"/>
        </w:rPr>
      </w:pPr>
    </w:p>
    <w:p w:rsidR="00EC6C37" w:rsidRPr="00E70550" w:rsidRDefault="00E57B05" w:rsidP="008F26C3">
      <w:pPr>
        <w:shd w:val="clear" w:color="auto" w:fill="FFFFFF"/>
        <w:spacing w:after="0" w:line="480" w:lineRule="auto"/>
        <w:jc w:val="center"/>
        <w:outlineLvl w:val="0"/>
        <w:rPr>
          <w:rFonts w:ascii="Times New Roman" w:eastAsia="Times New Roman" w:hAnsi="Times New Roman" w:cs="Times New Roman"/>
          <w:kern w:val="36"/>
          <w:sz w:val="24"/>
          <w:szCs w:val="24"/>
        </w:rPr>
      </w:pPr>
      <w:r w:rsidRPr="00E70550">
        <w:rPr>
          <w:rFonts w:ascii="Times New Roman" w:eastAsia="Times New Roman" w:hAnsi="Times New Roman" w:cs="Times New Roman"/>
          <w:kern w:val="36"/>
          <w:sz w:val="24"/>
          <w:szCs w:val="24"/>
        </w:rPr>
        <w:t>Evaluating Research Articles</w:t>
      </w:r>
    </w:p>
    <w:p w:rsidR="00EC6C37" w:rsidRPr="00E70550" w:rsidRDefault="00EC6C37" w:rsidP="008F26C3">
      <w:pPr>
        <w:shd w:val="clear" w:color="auto" w:fill="FFFFFF"/>
        <w:spacing w:after="0" w:line="480" w:lineRule="auto"/>
        <w:jc w:val="center"/>
        <w:outlineLvl w:val="0"/>
        <w:rPr>
          <w:rFonts w:ascii="Times New Roman" w:eastAsia="Times New Roman" w:hAnsi="Times New Roman" w:cs="Times New Roman"/>
          <w:kern w:val="36"/>
          <w:sz w:val="24"/>
          <w:szCs w:val="24"/>
        </w:rPr>
      </w:pPr>
      <w:r w:rsidRPr="00E70550">
        <w:rPr>
          <w:rFonts w:ascii="Times New Roman" w:eastAsia="Times New Roman" w:hAnsi="Times New Roman" w:cs="Times New Roman"/>
          <w:kern w:val="36"/>
          <w:sz w:val="24"/>
          <w:szCs w:val="24"/>
        </w:rPr>
        <w:t>Name</w:t>
      </w:r>
    </w:p>
    <w:p w:rsidR="00EC6C37" w:rsidRDefault="00EC6C37" w:rsidP="008F26C3">
      <w:pPr>
        <w:shd w:val="clear" w:color="auto" w:fill="FFFFFF"/>
        <w:spacing w:after="0" w:line="480" w:lineRule="auto"/>
        <w:jc w:val="center"/>
        <w:outlineLvl w:val="0"/>
        <w:rPr>
          <w:rFonts w:ascii="Times New Roman" w:eastAsia="Times New Roman" w:hAnsi="Times New Roman" w:cs="Times New Roman"/>
          <w:kern w:val="36"/>
          <w:sz w:val="24"/>
          <w:szCs w:val="24"/>
        </w:rPr>
      </w:pPr>
      <w:r w:rsidRPr="00E70550">
        <w:rPr>
          <w:rFonts w:ascii="Times New Roman" w:eastAsia="Times New Roman" w:hAnsi="Times New Roman" w:cs="Times New Roman"/>
          <w:kern w:val="36"/>
          <w:sz w:val="24"/>
          <w:szCs w:val="24"/>
        </w:rPr>
        <w:t xml:space="preserve">Instructor </w:t>
      </w:r>
    </w:p>
    <w:p w:rsidR="00E74973" w:rsidRPr="00E70550" w:rsidRDefault="00E74973" w:rsidP="008F26C3">
      <w:pPr>
        <w:shd w:val="clear" w:color="auto" w:fill="FFFFFF"/>
        <w:spacing w:after="0" w:line="480" w:lineRule="auto"/>
        <w:jc w:val="center"/>
        <w:outlineLvl w:val="0"/>
        <w:rPr>
          <w:rFonts w:ascii="Times New Roman" w:eastAsia="Times New Roman" w:hAnsi="Times New Roman" w:cs="Times New Roman"/>
          <w:kern w:val="36"/>
          <w:sz w:val="24"/>
          <w:szCs w:val="24"/>
        </w:rPr>
      </w:pPr>
      <w:r>
        <w:rPr>
          <w:rFonts w:ascii="Times New Roman" w:eastAsia="Times New Roman" w:hAnsi="Times New Roman" w:cs="Times New Roman"/>
          <w:kern w:val="36"/>
          <w:sz w:val="24"/>
          <w:szCs w:val="24"/>
        </w:rPr>
        <w:t>Course</w:t>
      </w:r>
    </w:p>
    <w:p w:rsidR="00EC6C37" w:rsidRPr="00E70550" w:rsidRDefault="00EC6C37" w:rsidP="008F26C3">
      <w:pPr>
        <w:shd w:val="clear" w:color="auto" w:fill="FFFFFF"/>
        <w:spacing w:after="0" w:line="480" w:lineRule="auto"/>
        <w:jc w:val="center"/>
        <w:outlineLvl w:val="0"/>
        <w:rPr>
          <w:rFonts w:ascii="Times New Roman" w:eastAsia="Times New Roman" w:hAnsi="Times New Roman" w:cs="Times New Roman"/>
          <w:kern w:val="36"/>
          <w:sz w:val="24"/>
          <w:szCs w:val="24"/>
        </w:rPr>
      </w:pPr>
      <w:r w:rsidRPr="00E70550">
        <w:rPr>
          <w:rFonts w:ascii="Times New Roman" w:eastAsia="Times New Roman" w:hAnsi="Times New Roman" w:cs="Times New Roman"/>
          <w:kern w:val="36"/>
          <w:sz w:val="24"/>
          <w:szCs w:val="24"/>
        </w:rPr>
        <w:t>Date</w:t>
      </w:r>
    </w:p>
    <w:p w:rsidR="00EC6C37" w:rsidRPr="00E70550" w:rsidRDefault="00EC6C37" w:rsidP="008F26C3">
      <w:pPr>
        <w:shd w:val="clear" w:color="auto" w:fill="FFFFFF"/>
        <w:spacing w:after="0" w:line="480" w:lineRule="auto"/>
        <w:jc w:val="center"/>
        <w:outlineLvl w:val="0"/>
        <w:rPr>
          <w:rFonts w:ascii="Times New Roman" w:eastAsia="Times New Roman" w:hAnsi="Times New Roman" w:cs="Times New Roman"/>
          <w:b/>
          <w:kern w:val="36"/>
          <w:sz w:val="24"/>
          <w:szCs w:val="24"/>
        </w:rPr>
      </w:pPr>
    </w:p>
    <w:p w:rsidR="00EC6C37" w:rsidRPr="00E70550" w:rsidRDefault="00EC6C37" w:rsidP="008F26C3">
      <w:pPr>
        <w:spacing w:line="480" w:lineRule="auto"/>
        <w:rPr>
          <w:rFonts w:ascii="Times New Roman" w:eastAsia="Times New Roman" w:hAnsi="Times New Roman" w:cs="Times New Roman"/>
          <w:b/>
          <w:kern w:val="36"/>
          <w:sz w:val="24"/>
          <w:szCs w:val="24"/>
        </w:rPr>
      </w:pPr>
      <w:r w:rsidRPr="00E70550">
        <w:rPr>
          <w:rFonts w:ascii="Times New Roman" w:eastAsia="Times New Roman" w:hAnsi="Times New Roman" w:cs="Times New Roman"/>
          <w:b/>
          <w:kern w:val="36"/>
          <w:sz w:val="24"/>
          <w:szCs w:val="24"/>
        </w:rPr>
        <w:br w:type="page"/>
      </w:r>
    </w:p>
    <w:bookmarkEnd w:id="0"/>
    <w:p w:rsidR="00796672" w:rsidRPr="00796672" w:rsidRDefault="00796672" w:rsidP="008F26C3">
      <w:pPr>
        <w:spacing w:line="480" w:lineRule="auto"/>
        <w:ind w:firstLine="720"/>
        <w:rPr>
          <w:rFonts w:ascii="Times New Roman" w:hAnsi="Times New Roman" w:cs="Times New Roman"/>
          <w:sz w:val="24"/>
          <w:szCs w:val="24"/>
        </w:rPr>
      </w:pPr>
      <w:r w:rsidRPr="00796672">
        <w:rPr>
          <w:rFonts w:ascii="Times New Roman" w:hAnsi="Times New Roman" w:cs="Times New Roman"/>
          <w:sz w:val="24"/>
          <w:szCs w:val="24"/>
        </w:rPr>
        <w:lastRenderedPageBreak/>
        <w:t xml:space="preserve">According to Darlington, Feeney, &amp; Rixon, 2005; the evidence-based research article – ‘interagency collaboration in both infant or child protection and mental health services. It reveals an objective to evaluate various factors which ease and obstruct interagency cooperation that exists in mental health and child protection services during the incidences or occasions where the child caregiver or parent mentally ill and the child require protection attention. However, the article further reveals the barriers or challenges regarding active collaboration, the employee experiences, and attitudes portrayed throughout agency practices. The article relates to an individual profession when it reflects back the actual life facts such as the procedures implemented like cross-sectional self-administration surveys. </w:t>
      </w:r>
    </w:p>
    <w:p w:rsidR="00796672" w:rsidRPr="00796672" w:rsidRDefault="00796672" w:rsidP="008F26C3">
      <w:pPr>
        <w:spacing w:line="480" w:lineRule="auto"/>
        <w:ind w:firstLine="720"/>
        <w:rPr>
          <w:rFonts w:ascii="Times New Roman" w:hAnsi="Times New Roman" w:cs="Times New Roman"/>
          <w:sz w:val="24"/>
          <w:szCs w:val="24"/>
        </w:rPr>
      </w:pPr>
      <w:r w:rsidRPr="00796672">
        <w:rPr>
          <w:rFonts w:ascii="Times New Roman" w:hAnsi="Times New Roman" w:cs="Times New Roman"/>
          <w:sz w:val="24"/>
          <w:szCs w:val="24"/>
        </w:rPr>
        <w:t xml:space="preserve">On the other hand, Friedman, et al., 2007 article – ‘Measuring changes in interagency collaboration: an examination of the Bridgeport Safe Start Initiative,’ reveals interagency collaboration assessment based on child-serving contributors network. Though BSSI and care approach systems, the article targets to decrease disintegration found within exertions and distribution of incorporated services to young children families that are prone and have exposure to or are at risky family violence. Besides, the paper also presents a means to confront the challenges which measure interagency collaboration in the system of service delivery. However, four outcome factors fluctuate with endorsement rates in the profession. The problems involve inadequate training, the affirmative concern of child protection employees as wells as the mental health employees, and mutual mistrust. </w:t>
      </w:r>
    </w:p>
    <w:p w:rsidR="00E57B05" w:rsidRPr="008F26C3" w:rsidRDefault="00796672" w:rsidP="008F26C3">
      <w:pPr>
        <w:spacing w:line="480" w:lineRule="auto"/>
        <w:ind w:firstLine="720"/>
        <w:rPr>
          <w:rFonts w:ascii="Times New Roman" w:hAnsi="Times New Roman" w:cs="Times New Roman"/>
          <w:sz w:val="24"/>
          <w:szCs w:val="24"/>
        </w:rPr>
      </w:pPr>
      <w:r w:rsidRPr="00796672">
        <w:rPr>
          <w:rFonts w:ascii="Times New Roman" w:hAnsi="Times New Roman" w:cs="Times New Roman"/>
          <w:sz w:val="24"/>
          <w:szCs w:val="24"/>
        </w:rPr>
        <w:t xml:space="preserve">Professionally, the articles reflect what nursing professions should mainly deliver to their patients. Regarding the child and youth mental health examinations as well as adult psychological fitness services, all human service professionals are articulated with sufficient influence to provide their experience and professional services to all humans in need. In fact, </w:t>
      </w:r>
      <w:r w:rsidRPr="00796672">
        <w:rPr>
          <w:rFonts w:ascii="Times New Roman" w:hAnsi="Times New Roman" w:cs="Times New Roman"/>
          <w:sz w:val="24"/>
          <w:szCs w:val="24"/>
        </w:rPr>
        <w:lastRenderedPageBreak/>
        <w:t xml:space="preserve">accordance to Darlington, Feeney, &amp; Rixon, 2005 consequently the revelation of the analysis highlights a moderate amount of engagement of interagency workers turnout though drove them to unhappiness due to inadequate agency support. However, four outcome factors fluctuate with endorsement rates in the profession. The elements comprise of insufficient training, the affirmative concern of child protection employees as wells as the mental health employees, and mutual mistrust.  </w:t>
      </w:r>
    </w:p>
    <w:p w:rsidR="00216B27" w:rsidRPr="00216B27" w:rsidRDefault="00216B27" w:rsidP="008F26C3">
      <w:pPr>
        <w:spacing w:line="480" w:lineRule="auto"/>
        <w:ind w:firstLine="720"/>
        <w:rPr>
          <w:rFonts w:ascii="Times New Roman" w:hAnsi="Times New Roman" w:cs="Times New Roman"/>
          <w:sz w:val="24"/>
          <w:szCs w:val="24"/>
        </w:rPr>
      </w:pPr>
      <w:r w:rsidRPr="00216B27">
        <w:rPr>
          <w:rFonts w:ascii="Times New Roman" w:hAnsi="Times New Roman" w:cs="Times New Roman"/>
          <w:sz w:val="24"/>
          <w:szCs w:val="24"/>
        </w:rPr>
        <w:t xml:space="preserve">Human services professional comprise of different practices that the community relies on its well being and development. As a child caregiver and protector, the article points out the methods that one should attain once various circumstances admit. During the incident such as sickness, the human services professionals have to protect children at risk when the parents have mental illness and or at risky violence in the families. Professionally, they are also acquainted with the practice to which extent of the child should be for the low background families. Despite the articulated methods as human services professional, different challenges usually encounter our practices in the system. These factors decrease the rate at which the services are offered to the community. Inadequate training in the order affects interagency practices hence low standards of performance results. Inadequate system support from the agency usually cuts down the quality of the services provided for the interagency collaboration. </w:t>
      </w:r>
    </w:p>
    <w:p w:rsidR="002079E3" w:rsidRPr="00E70550" w:rsidRDefault="002079E3" w:rsidP="008F26C3">
      <w:pPr>
        <w:shd w:val="clear" w:color="auto" w:fill="FFFFFF"/>
        <w:spacing w:after="0" w:line="480" w:lineRule="auto"/>
        <w:rPr>
          <w:rFonts w:ascii="Times New Roman" w:eastAsia="Times New Roman" w:hAnsi="Times New Roman" w:cs="Times New Roman"/>
          <w:b/>
          <w:color w:val="000000"/>
          <w:sz w:val="24"/>
          <w:szCs w:val="24"/>
        </w:rPr>
      </w:pPr>
    </w:p>
    <w:p w:rsidR="00EC6C37" w:rsidRPr="00E70550" w:rsidRDefault="00EC6C37" w:rsidP="008F26C3">
      <w:pPr>
        <w:spacing w:line="480" w:lineRule="auto"/>
        <w:rPr>
          <w:rFonts w:ascii="Times New Roman" w:eastAsia="Times New Roman" w:hAnsi="Times New Roman" w:cs="Times New Roman"/>
          <w:b/>
          <w:color w:val="000000"/>
          <w:sz w:val="24"/>
          <w:szCs w:val="24"/>
        </w:rPr>
      </w:pPr>
      <w:r w:rsidRPr="00E70550">
        <w:rPr>
          <w:rFonts w:ascii="Times New Roman" w:eastAsia="Times New Roman" w:hAnsi="Times New Roman" w:cs="Times New Roman"/>
          <w:b/>
          <w:color w:val="000000"/>
          <w:sz w:val="24"/>
          <w:szCs w:val="24"/>
        </w:rPr>
        <w:br w:type="page"/>
      </w:r>
    </w:p>
    <w:p w:rsidR="00EC6C37" w:rsidRPr="00E70550" w:rsidRDefault="00EC6C37" w:rsidP="008F26C3">
      <w:pPr>
        <w:shd w:val="clear" w:color="auto" w:fill="FFFFFF"/>
        <w:spacing w:after="0" w:line="480" w:lineRule="auto"/>
        <w:jc w:val="center"/>
        <w:rPr>
          <w:rFonts w:ascii="Times New Roman" w:eastAsia="Times New Roman" w:hAnsi="Times New Roman" w:cs="Times New Roman"/>
          <w:color w:val="000000"/>
          <w:sz w:val="24"/>
          <w:szCs w:val="24"/>
        </w:rPr>
      </w:pPr>
      <w:r w:rsidRPr="00E70550">
        <w:rPr>
          <w:rFonts w:ascii="Times New Roman" w:eastAsia="Times New Roman" w:hAnsi="Times New Roman" w:cs="Times New Roman"/>
          <w:color w:val="000000"/>
          <w:sz w:val="24"/>
          <w:szCs w:val="24"/>
        </w:rPr>
        <w:lastRenderedPageBreak/>
        <w:t>References</w:t>
      </w:r>
    </w:p>
    <w:p w:rsidR="00E70550" w:rsidRPr="00E70550" w:rsidRDefault="00E70550" w:rsidP="008F26C3">
      <w:pPr>
        <w:spacing w:line="480" w:lineRule="auto"/>
        <w:ind w:left="720" w:hanging="720"/>
        <w:rPr>
          <w:rFonts w:ascii="Times New Roman" w:hAnsi="Times New Roman" w:cs="Times New Roman"/>
          <w:color w:val="676767"/>
          <w:sz w:val="24"/>
          <w:szCs w:val="24"/>
        </w:rPr>
      </w:pPr>
      <w:r w:rsidRPr="00E70550">
        <w:rPr>
          <w:rFonts w:ascii="Times New Roman" w:hAnsi="Times New Roman" w:cs="Times New Roman"/>
          <w:color w:val="676767"/>
          <w:sz w:val="24"/>
          <w:szCs w:val="24"/>
        </w:rPr>
        <w:t xml:space="preserve">Darlington, Y., Feeney, J. A., &amp;Rixon, K. (2005). Interagency collaboration between child protection and mental health services: Practices, attitudes and barriers. </w:t>
      </w:r>
      <w:r w:rsidRPr="00E70550">
        <w:rPr>
          <w:rStyle w:val="Emphasis"/>
          <w:rFonts w:ascii="Times New Roman" w:hAnsi="Times New Roman" w:cs="Times New Roman"/>
          <w:color w:val="676767"/>
          <w:sz w:val="24"/>
          <w:szCs w:val="24"/>
        </w:rPr>
        <w:t>Child Abuse &amp; Neglect, 29</w:t>
      </w:r>
      <w:r w:rsidRPr="00E70550">
        <w:rPr>
          <w:rFonts w:ascii="Times New Roman" w:hAnsi="Times New Roman" w:cs="Times New Roman"/>
          <w:color w:val="676767"/>
          <w:sz w:val="24"/>
          <w:szCs w:val="24"/>
        </w:rPr>
        <w:t>(10), 1085–1098.</w:t>
      </w:r>
    </w:p>
    <w:p w:rsidR="00E70550" w:rsidRPr="00E70550" w:rsidRDefault="00E70550" w:rsidP="008F26C3">
      <w:pPr>
        <w:spacing w:line="480" w:lineRule="auto"/>
        <w:ind w:left="720" w:hanging="720"/>
        <w:rPr>
          <w:rFonts w:ascii="Times New Roman" w:hAnsi="Times New Roman" w:cs="Times New Roman"/>
          <w:sz w:val="24"/>
          <w:szCs w:val="24"/>
        </w:rPr>
      </w:pPr>
      <w:r w:rsidRPr="00E70550">
        <w:rPr>
          <w:rFonts w:ascii="Times New Roman" w:hAnsi="Times New Roman" w:cs="Times New Roman"/>
          <w:color w:val="676767"/>
          <w:sz w:val="24"/>
          <w:szCs w:val="24"/>
        </w:rPr>
        <w:t xml:space="preserve">Friedman, S. R., Reynolds. J., Quan, M. A., Call, S., Crusto, C. A., &amp; Kaufman, J. S. (2007). Measuring changes in interagency collaboration: An examination of the Bridgeport Safe Start Initiative. </w:t>
      </w:r>
      <w:r w:rsidRPr="00E70550">
        <w:rPr>
          <w:rStyle w:val="Emphasis"/>
          <w:rFonts w:ascii="Times New Roman" w:hAnsi="Times New Roman" w:cs="Times New Roman"/>
          <w:color w:val="676767"/>
          <w:sz w:val="24"/>
          <w:szCs w:val="24"/>
        </w:rPr>
        <w:t>Evaluation and Program Planning, 30</w:t>
      </w:r>
      <w:r w:rsidRPr="00E70550">
        <w:rPr>
          <w:rFonts w:ascii="Times New Roman" w:hAnsi="Times New Roman" w:cs="Times New Roman"/>
          <w:color w:val="676767"/>
          <w:sz w:val="24"/>
          <w:szCs w:val="24"/>
        </w:rPr>
        <w:t>(3), 294–306.</w:t>
      </w:r>
    </w:p>
    <w:p w:rsidR="00EC6C37" w:rsidRPr="00E70550" w:rsidRDefault="00EC6C37" w:rsidP="008F26C3">
      <w:pPr>
        <w:shd w:val="clear" w:color="auto" w:fill="FFFFFF"/>
        <w:spacing w:after="0" w:line="480" w:lineRule="auto"/>
        <w:rPr>
          <w:rFonts w:ascii="Times New Roman" w:eastAsia="Times New Roman" w:hAnsi="Times New Roman" w:cs="Times New Roman"/>
          <w:b/>
          <w:color w:val="000000"/>
          <w:sz w:val="24"/>
          <w:szCs w:val="24"/>
        </w:rPr>
      </w:pPr>
    </w:p>
    <w:sectPr w:rsidR="00EC6C37" w:rsidRPr="00E70550" w:rsidSect="00EC6C3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665B" w:rsidRDefault="00D2665B" w:rsidP="00EC6C37">
      <w:pPr>
        <w:spacing w:after="0" w:line="240" w:lineRule="auto"/>
      </w:pPr>
      <w:r>
        <w:separator/>
      </w:r>
    </w:p>
  </w:endnote>
  <w:endnote w:type="continuationSeparator" w:id="1">
    <w:p w:rsidR="00D2665B" w:rsidRDefault="00D2665B" w:rsidP="00EC6C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altName w:val="Arial"/>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665B" w:rsidRDefault="00D2665B" w:rsidP="00EC6C37">
      <w:pPr>
        <w:spacing w:after="0" w:line="240" w:lineRule="auto"/>
      </w:pPr>
      <w:r>
        <w:separator/>
      </w:r>
    </w:p>
  </w:footnote>
  <w:footnote w:type="continuationSeparator" w:id="1">
    <w:p w:rsidR="00D2665B" w:rsidRDefault="00D2665B" w:rsidP="00EC6C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C37" w:rsidRPr="00EC6C37" w:rsidRDefault="00EC6C37" w:rsidP="00EC6C37">
    <w:pPr>
      <w:pStyle w:val="Header"/>
      <w:spacing w:line="480" w:lineRule="auto"/>
      <w:jc w:val="right"/>
      <w:rPr>
        <w:rFonts w:ascii="Times New Roman" w:hAnsi="Times New Roman" w:cs="Times New Roman"/>
        <w:sz w:val="24"/>
        <w:szCs w:val="24"/>
      </w:rPr>
    </w:pPr>
    <w:r w:rsidRPr="00EC6C37">
      <w:rPr>
        <w:rFonts w:ascii="Times New Roman" w:eastAsia="Times New Roman" w:hAnsi="Times New Roman" w:cs="Times New Roman"/>
        <w:kern w:val="36"/>
        <w:sz w:val="24"/>
        <w:szCs w:val="24"/>
      </w:rPr>
      <w:t>EVALUATING RESEARCH ARTICLES</w:t>
    </w:r>
    <w:r w:rsidRPr="00EC6C37">
      <w:rPr>
        <w:rFonts w:ascii="Times New Roman" w:eastAsia="Times New Roman" w:hAnsi="Times New Roman" w:cs="Times New Roman"/>
        <w:kern w:val="36"/>
        <w:sz w:val="24"/>
        <w:szCs w:val="24"/>
      </w:rPr>
      <w:tab/>
    </w:r>
    <w:r w:rsidRPr="00EC6C37">
      <w:rPr>
        <w:rFonts w:ascii="Times New Roman" w:eastAsia="Times New Roman" w:hAnsi="Times New Roman" w:cs="Times New Roman"/>
        <w:b/>
        <w:kern w:val="36"/>
        <w:sz w:val="24"/>
        <w:szCs w:val="24"/>
      </w:rPr>
      <w:tab/>
    </w:r>
    <w:sdt>
      <w:sdtPr>
        <w:rPr>
          <w:rFonts w:ascii="Times New Roman" w:hAnsi="Times New Roman" w:cs="Times New Roman"/>
          <w:sz w:val="24"/>
          <w:szCs w:val="24"/>
        </w:rPr>
        <w:id w:val="10251308"/>
        <w:docPartObj>
          <w:docPartGallery w:val="Page Numbers (Top of Page)"/>
          <w:docPartUnique/>
        </w:docPartObj>
      </w:sdtPr>
      <w:sdtContent>
        <w:r w:rsidR="00936A7B" w:rsidRPr="00EC6C37">
          <w:rPr>
            <w:rFonts w:ascii="Times New Roman" w:hAnsi="Times New Roman" w:cs="Times New Roman"/>
            <w:sz w:val="24"/>
            <w:szCs w:val="24"/>
          </w:rPr>
          <w:fldChar w:fldCharType="begin"/>
        </w:r>
        <w:r w:rsidRPr="00EC6C37">
          <w:rPr>
            <w:rFonts w:ascii="Times New Roman" w:hAnsi="Times New Roman" w:cs="Times New Roman"/>
            <w:sz w:val="24"/>
            <w:szCs w:val="24"/>
          </w:rPr>
          <w:instrText xml:space="preserve"> PAGE   \* MERGEFORMAT </w:instrText>
        </w:r>
        <w:r w:rsidR="00936A7B" w:rsidRPr="00EC6C37">
          <w:rPr>
            <w:rFonts w:ascii="Times New Roman" w:hAnsi="Times New Roman" w:cs="Times New Roman"/>
            <w:sz w:val="24"/>
            <w:szCs w:val="24"/>
          </w:rPr>
          <w:fldChar w:fldCharType="separate"/>
        </w:r>
        <w:r w:rsidR="008F26C3">
          <w:rPr>
            <w:rFonts w:ascii="Times New Roman" w:hAnsi="Times New Roman" w:cs="Times New Roman"/>
            <w:noProof/>
            <w:sz w:val="24"/>
            <w:szCs w:val="24"/>
          </w:rPr>
          <w:t>4</w:t>
        </w:r>
        <w:r w:rsidR="00936A7B" w:rsidRPr="00EC6C37">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C37" w:rsidRPr="00EC6C37" w:rsidRDefault="00EC6C37" w:rsidP="00EC6C37">
    <w:pPr>
      <w:shd w:val="clear" w:color="auto" w:fill="FFFFFF"/>
      <w:spacing w:after="0" w:line="480" w:lineRule="auto"/>
      <w:jc w:val="center"/>
      <w:outlineLvl w:val="0"/>
      <w:rPr>
        <w:rFonts w:ascii="Times New Roman" w:eastAsia="Times New Roman" w:hAnsi="Times New Roman" w:cs="Times New Roman"/>
        <w:b/>
        <w:kern w:val="36"/>
        <w:sz w:val="24"/>
        <w:szCs w:val="24"/>
      </w:rPr>
    </w:pPr>
    <w:r w:rsidRPr="00EC6C37">
      <w:rPr>
        <w:rFonts w:ascii="Times New Roman" w:hAnsi="Times New Roman" w:cs="Times New Roman"/>
        <w:sz w:val="24"/>
        <w:szCs w:val="24"/>
      </w:rPr>
      <w:t xml:space="preserve">Running Head: </w:t>
    </w:r>
    <w:r w:rsidRPr="00EC6C37">
      <w:rPr>
        <w:rFonts w:ascii="Times New Roman" w:eastAsia="Times New Roman" w:hAnsi="Times New Roman" w:cs="Times New Roman"/>
        <w:kern w:val="36"/>
        <w:sz w:val="24"/>
        <w:szCs w:val="24"/>
      </w:rPr>
      <w:t>EVALUATING RESEARCH ARTICLES</w:t>
    </w:r>
    <w:r w:rsidRPr="00EC6C37">
      <w:rPr>
        <w:rFonts w:ascii="Times New Roman" w:eastAsia="Times New Roman" w:hAnsi="Times New Roman" w:cs="Times New Roman"/>
        <w:kern w:val="36"/>
        <w:sz w:val="24"/>
        <w:szCs w:val="24"/>
      </w:rPr>
      <w:tab/>
    </w:r>
    <w:r w:rsidRPr="00EC6C37">
      <w:rPr>
        <w:rFonts w:ascii="Times New Roman" w:eastAsia="Times New Roman" w:hAnsi="Times New Roman" w:cs="Times New Roman"/>
        <w:b/>
        <w:kern w:val="36"/>
        <w:sz w:val="24"/>
        <w:szCs w:val="24"/>
      </w:rPr>
      <w:tab/>
    </w:r>
    <w:r w:rsidRPr="00EC6C37">
      <w:rPr>
        <w:rFonts w:ascii="Times New Roman" w:eastAsia="Times New Roman" w:hAnsi="Times New Roman" w:cs="Times New Roman"/>
        <w:b/>
        <w:kern w:val="36"/>
        <w:sz w:val="24"/>
        <w:szCs w:val="24"/>
      </w:rPr>
      <w:tab/>
    </w:r>
    <w:r w:rsidRPr="00EC6C37">
      <w:rPr>
        <w:rFonts w:ascii="Times New Roman" w:eastAsia="Times New Roman" w:hAnsi="Times New Roman" w:cs="Times New Roman"/>
        <w:b/>
        <w:kern w:val="36"/>
        <w:sz w:val="24"/>
        <w:szCs w:val="24"/>
      </w:rPr>
      <w:tab/>
    </w:r>
    <w:r w:rsidRPr="00EC6C37">
      <w:rPr>
        <w:rFonts w:ascii="Times New Roman" w:eastAsia="Times New Roman" w:hAnsi="Times New Roman" w:cs="Times New Roman"/>
        <w:b/>
        <w:kern w:val="36"/>
        <w:sz w:val="24"/>
        <w:szCs w:val="24"/>
      </w:rPr>
      <w:tab/>
    </w:r>
    <w:sdt>
      <w:sdtPr>
        <w:rPr>
          <w:rFonts w:ascii="Times New Roman" w:hAnsi="Times New Roman" w:cs="Times New Roman"/>
          <w:sz w:val="24"/>
          <w:szCs w:val="24"/>
        </w:rPr>
        <w:id w:val="10251266"/>
        <w:docPartObj>
          <w:docPartGallery w:val="Page Numbers (Top of Page)"/>
          <w:docPartUnique/>
        </w:docPartObj>
      </w:sdtPr>
      <w:sdtContent>
        <w:r w:rsidR="00936A7B" w:rsidRPr="00EC6C37">
          <w:rPr>
            <w:rFonts w:ascii="Times New Roman" w:hAnsi="Times New Roman" w:cs="Times New Roman"/>
            <w:sz w:val="24"/>
            <w:szCs w:val="24"/>
          </w:rPr>
          <w:fldChar w:fldCharType="begin"/>
        </w:r>
        <w:r w:rsidRPr="00EC6C37">
          <w:rPr>
            <w:rFonts w:ascii="Times New Roman" w:hAnsi="Times New Roman" w:cs="Times New Roman"/>
            <w:sz w:val="24"/>
            <w:szCs w:val="24"/>
          </w:rPr>
          <w:instrText xml:space="preserve"> PAGE   \* MERGEFORMAT </w:instrText>
        </w:r>
        <w:r w:rsidR="00936A7B" w:rsidRPr="00EC6C37">
          <w:rPr>
            <w:rFonts w:ascii="Times New Roman" w:hAnsi="Times New Roman" w:cs="Times New Roman"/>
            <w:sz w:val="24"/>
            <w:szCs w:val="24"/>
          </w:rPr>
          <w:fldChar w:fldCharType="separate"/>
        </w:r>
        <w:r w:rsidR="008F26C3">
          <w:rPr>
            <w:rFonts w:ascii="Times New Roman" w:hAnsi="Times New Roman" w:cs="Times New Roman"/>
            <w:noProof/>
            <w:sz w:val="24"/>
            <w:szCs w:val="24"/>
          </w:rPr>
          <w:t>1</w:t>
        </w:r>
        <w:r w:rsidR="00936A7B" w:rsidRPr="00EC6C37">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756EB2"/>
    <w:multiLevelType w:val="multilevel"/>
    <w:tmpl w:val="F6D27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57B05"/>
    <w:rsid w:val="000D00E8"/>
    <w:rsid w:val="000D22DE"/>
    <w:rsid w:val="000F1A06"/>
    <w:rsid w:val="00114AB6"/>
    <w:rsid w:val="00184262"/>
    <w:rsid w:val="001C57CA"/>
    <w:rsid w:val="001D24FD"/>
    <w:rsid w:val="002079E3"/>
    <w:rsid w:val="00216B27"/>
    <w:rsid w:val="002708C5"/>
    <w:rsid w:val="00272634"/>
    <w:rsid w:val="002A4783"/>
    <w:rsid w:val="002D319C"/>
    <w:rsid w:val="002D471E"/>
    <w:rsid w:val="00351590"/>
    <w:rsid w:val="003D5352"/>
    <w:rsid w:val="00403A94"/>
    <w:rsid w:val="004F064B"/>
    <w:rsid w:val="005453FB"/>
    <w:rsid w:val="005A229C"/>
    <w:rsid w:val="006013B6"/>
    <w:rsid w:val="00632CC5"/>
    <w:rsid w:val="006D6B63"/>
    <w:rsid w:val="007421D7"/>
    <w:rsid w:val="0076601A"/>
    <w:rsid w:val="00796672"/>
    <w:rsid w:val="007C0D5A"/>
    <w:rsid w:val="007C6DBE"/>
    <w:rsid w:val="00816C8D"/>
    <w:rsid w:val="008D55DC"/>
    <w:rsid w:val="008F26C3"/>
    <w:rsid w:val="00917627"/>
    <w:rsid w:val="00936A7B"/>
    <w:rsid w:val="009C184C"/>
    <w:rsid w:val="00AE7EC8"/>
    <w:rsid w:val="00B0099F"/>
    <w:rsid w:val="00B14302"/>
    <w:rsid w:val="00B45565"/>
    <w:rsid w:val="00B47DF5"/>
    <w:rsid w:val="00CD2EE1"/>
    <w:rsid w:val="00D2665B"/>
    <w:rsid w:val="00D30C43"/>
    <w:rsid w:val="00E22A14"/>
    <w:rsid w:val="00E2342A"/>
    <w:rsid w:val="00E57B05"/>
    <w:rsid w:val="00E6384C"/>
    <w:rsid w:val="00E70550"/>
    <w:rsid w:val="00E74973"/>
    <w:rsid w:val="00E837A1"/>
    <w:rsid w:val="00EC6C37"/>
    <w:rsid w:val="00EE6981"/>
    <w:rsid w:val="00F0404B"/>
    <w:rsid w:val="00F31A71"/>
    <w:rsid w:val="00F70EAD"/>
    <w:rsid w:val="00F80053"/>
    <w:rsid w:val="00FB09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A14"/>
  </w:style>
  <w:style w:type="paragraph" w:styleId="Heading1">
    <w:name w:val="heading 1"/>
    <w:basedOn w:val="Normal"/>
    <w:link w:val="Heading1Char"/>
    <w:uiPriority w:val="9"/>
    <w:qFormat/>
    <w:rsid w:val="00E57B0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E57B05"/>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7B05"/>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E57B05"/>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E57B0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57B05"/>
    <w:rPr>
      <w:b/>
      <w:bCs/>
    </w:rPr>
  </w:style>
  <w:style w:type="paragraph" w:styleId="ListParagraph">
    <w:name w:val="List Paragraph"/>
    <w:basedOn w:val="Normal"/>
    <w:uiPriority w:val="34"/>
    <w:qFormat/>
    <w:rsid w:val="00E57B05"/>
    <w:pPr>
      <w:ind w:left="720"/>
      <w:contextualSpacing/>
    </w:pPr>
  </w:style>
  <w:style w:type="paragraph" w:styleId="Header">
    <w:name w:val="header"/>
    <w:basedOn w:val="Normal"/>
    <w:link w:val="HeaderChar"/>
    <w:uiPriority w:val="99"/>
    <w:unhideWhenUsed/>
    <w:rsid w:val="00EC6C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6C37"/>
  </w:style>
  <w:style w:type="paragraph" w:styleId="Footer">
    <w:name w:val="footer"/>
    <w:basedOn w:val="Normal"/>
    <w:link w:val="FooterChar"/>
    <w:uiPriority w:val="99"/>
    <w:semiHidden/>
    <w:unhideWhenUsed/>
    <w:rsid w:val="00EC6C3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C6C37"/>
  </w:style>
  <w:style w:type="character" w:styleId="Emphasis">
    <w:name w:val="Emphasis"/>
    <w:basedOn w:val="DefaultParagraphFont"/>
    <w:uiPriority w:val="20"/>
    <w:qFormat/>
    <w:rsid w:val="00E70550"/>
    <w:rPr>
      <w:i/>
      <w:iCs/>
    </w:rPr>
  </w:style>
</w:styles>
</file>

<file path=word/webSettings.xml><?xml version="1.0" encoding="utf-8"?>
<w:webSettings xmlns:r="http://schemas.openxmlformats.org/officeDocument/2006/relationships" xmlns:w="http://schemas.openxmlformats.org/wordprocessingml/2006/main">
  <w:divs>
    <w:div w:id="1767188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612</Words>
  <Characters>3490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Miles-Britton, Latisha</dc:creator>
  <cp:lastModifiedBy>user</cp:lastModifiedBy>
  <cp:revision>2</cp:revision>
  <dcterms:created xsi:type="dcterms:W3CDTF">2018-01-14T10:01:00Z</dcterms:created>
  <dcterms:modified xsi:type="dcterms:W3CDTF">2018-01-14T10:01:00Z</dcterms:modified>
</cp:coreProperties>
</file>