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p>
    <w:p w:rsidR="00A4641D"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t>Gender in History</w:t>
      </w: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t>Name</w:t>
      </w: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t>Instructor</w:t>
      </w: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t xml:space="preserve">Course </w:t>
      </w:r>
    </w:p>
    <w:p w:rsidR="00307B35"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t>Date</w:t>
      </w:r>
    </w:p>
    <w:p w:rsidR="00307B35" w:rsidRPr="009A2911" w:rsidRDefault="00307B35" w:rsidP="000A19F0">
      <w:pPr>
        <w:spacing w:line="480" w:lineRule="auto"/>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br w:type="page"/>
      </w:r>
    </w:p>
    <w:p w:rsidR="00A4641D" w:rsidRPr="009A2911" w:rsidRDefault="00A4641D" w:rsidP="000A19F0">
      <w:pPr>
        <w:spacing w:line="480" w:lineRule="auto"/>
        <w:rPr>
          <w:rFonts w:ascii="Times New Roman" w:hAnsi="Times New Roman" w:cs="Times New Roman"/>
          <w:b/>
          <w:sz w:val="24"/>
          <w:szCs w:val="24"/>
          <w:shd w:val="clear" w:color="auto" w:fill="FFFFFF"/>
        </w:rPr>
      </w:pPr>
      <w:r w:rsidRPr="009A2911">
        <w:rPr>
          <w:rFonts w:ascii="Times New Roman" w:hAnsi="Times New Roman" w:cs="Times New Roman"/>
          <w:b/>
          <w:sz w:val="24"/>
          <w:szCs w:val="24"/>
          <w:shd w:val="clear" w:color="auto" w:fill="FFFFFF"/>
        </w:rPr>
        <w:lastRenderedPageBreak/>
        <w:t xml:space="preserve">What is the larger significance of correspondence with or divergence from gender </w:t>
      </w:r>
      <w:r w:rsidR="00A2391B" w:rsidRPr="009A2911">
        <w:rPr>
          <w:rFonts w:ascii="Times New Roman" w:hAnsi="Times New Roman" w:cs="Times New Roman"/>
          <w:b/>
          <w:sz w:val="24"/>
          <w:szCs w:val="24"/>
          <w:shd w:val="clear" w:color="auto" w:fill="FFFFFF"/>
        </w:rPr>
        <w:t>norm</w:t>
      </w:r>
      <w:r w:rsidRPr="009A2911">
        <w:rPr>
          <w:rFonts w:ascii="Times New Roman" w:hAnsi="Times New Roman" w:cs="Times New Roman"/>
          <w:b/>
          <w:sz w:val="24"/>
          <w:szCs w:val="24"/>
          <w:shd w:val="clear" w:color="auto" w:fill="FFFFFF"/>
        </w:rPr>
        <w:t xml:space="preserve"> or gender hierarchies? </w:t>
      </w:r>
    </w:p>
    <w:p w:rsidR="006E2077" w:rsidRPr="006E2077" w:rsidRDefault="006E2077" w:rsidP="000A19F0">
      <w:pPr>
        <w:shd w:val="clear" w:color="auto" w:fill="FFFFFF"/>
        <w:spacing w:after="0" w:line="480" w:lineRule="auto"/>
        <w:ind w:firstLine="720"/>
        <w:rPr>
          <w:rFonts w:ascii="Times New Roman" w:eastAsia="Times New Roman" w:hAnsi="Times New Roman" w:cs="Times New Roman"/>
          <w:sz w:val="24"/>
          <w:szCs w:val="24"/>
        </w:rPr>
      </w:pPr>
      <w:r w:rsidRPr="006E2077">
        <w:rPr>
          <w:rFonts w:ascii="Times New Roman" w:eastAsia="Times New Roman" w:hAnsi="Times New Roman" w:cs="Times New Roman"/>
          <w:sz w:val="24"/>
          <w:szCs w:val="24"/>
        </w:rPr>
        <w:t xml:space="preserve">The elevated associations with significance in regard to the concept of gender hierarchy or norms involve variable differences of the body that is evident with the development of colonial empires by the European countries. For instance, there was a general view of white women to positively portray female qualities (such as purity and piety) while particularly the black women or non-white women incorporated negative traits such as sensuality and disobedience. In this case, there was pressurized coherent with men due race and sex as on the other hand more apparently non-white men demonstrated negative traits like corporeal prowess. Gender hierarchies and norms crucial correspondence appeared worrisome which in the present day society has revealed improvement towards gender (Merry, </w:t>
      </w:r>
      <w:proofErr w:type="spellStart"/>
      <w:r w:rsidRPr="006E2077">
        <w:rPr>
          <w:rFonts w:ascii="Times New Roman" w:eastAsia="Times New Roman" w:hAnsi="Times New Roman" w:cs="Times New Roman"/>
          <w:sz w:val="24"/>
          <w:szCs w:val="24"/>
        </w:rPr>
        <w:t>Weisner</w:t>
      </w:r>
      <w:proofErr w:type="spellEnd"/>
      <w:r w:rsidRPr="006E2077">
        <w:rPr>
          <w:rFonts w:ascii="Times New Roman" w:eastAsia="Times New Roman" w:hAnsi="Times New Roman" w:cs="Times New Roman"/>
          <w:sz w:val="24"/>
          <w:szCs w:val="24"/>
        </w:rPr>
        <w:t xml:space="preserve"> Hanks, 2011). Unfortunately, giving an example the white men who particularly were set on top ranks while the non-white women were basically set at the bottom, the hierarchy was clearly outlined with the Europeans. Hegemonic masculinity emerges a gender concept that is implemented to explain the power of possession over women. The men’s justifiable power legitimacy portrays their health behavior and the implementation of violence. Studies and gender activists who look to alter men’s association with women managed to assemble together with the intervention of the conception of hegemonic masculinity. </w:t>
      </w:r>
    </w:p>
    <w:p w:rsidR="00307B35" w:rsidRPr="009A2911" w:rsidRDefault="006E2077" w:rsidP="000A19F0">
      <w:pPr>
        <w:shd w:val="clear" w:color="auto" w:fill="FFFFFF"/>
        <w:spacing w:after="0" w:line="480" w:lineRule="auto"/>
        <w:ind w:firstLine="720"/>
        <w:rPr>
          <w:rFonts w:ascii="Times New Roman" w:eastAsia="Times New Roman" w:hAnsi="Times New Roman" w:cs="Times New Roman"/>
          <w:sz w:val="24"/>
          <w:szCs w:val="24"/>
        </w:rPr>
      </w:pPr>
      <w:r w:rsidRPr="006E2077">
        <w:rPr>
          <w:rFonts w:ascii="Times New Roman" w:eastAsia="Times New Roman" w:hAnsi="Times New Roman" w:cs="Times New Roman"/>
          <w:sz w:val="24"/>
          <w:szCs w:val="24"/>
        </w:rPr>
        <w:t xml:space="preserve">In relevance of building gender equality, the social effort has been put to broadly bring men into effective intervention associated with gender concepts (Blackbeard, </w:t>
      </w:r>
      <w:proofErr w:type="spellStart"/>
      <w:r w:rsidRPr="006E2077">
        <w:rPr>
          <w:rFonts w:ascii="Times New Roman" w:eastAsia="Times New Roman" w:hAnsi="Times New Roman" w:cs="Times New Roman"/>
          <w:sz w:val="24"/>
          <w:szCs w:val="24"/>
        </w:rPr>
        <w:t>Lindegger</w:t>
      </w:r>
      <w:proofErr w:type="spellEnd"/>
      <w:r w:rsidRPr="006E2077">
        <w:rPr>
          <w:rFonts w:ascii="Times New Roman" w:eastAsia="Times New Roman" w:hAnsi="Times New Roman" w:cs="Times New Roman"/>
          <w:sz w:val="24"/>
          <w:szCs w:val="24"/>
        </w:rPr>
        <w:t>, 2014). In support of this, to both racial and ethnic variations similar to the gender concepts, scientific and medical</w:t>
      </w:r>
      <w:r w:rsidR="00796F09">
        <w:rPr>
          <w:rFonts w:ascii="Times New Roman" w:eastAsia="Times New Roman" w:hAnsi="Times New Roman" w:cs="Times New Roman"/>
          <w:sz w:val="24"/>
          <w:szCs w:val="24"/>
        </w:rPr>
        <w:t xml:space="preserve"> measurements were imposed as </w:t>
      </w:r>
      <w:r w:rsidRPr="006E2077">
        <w:rPr>
          <w:rFonts w:ascii="Times New Roman" w:eastAsia="Times New Roman" w:hAnsi="Times New Roman" w:cs="Times New Roman"/>
          <w:sz w:val="24"/>
          <w:szCs w:val="24"/>
        </w:rPr>
        <w:t xml:space="preserve">prove to follow up that different groups portray variable traits like one group may reveal smaller brains while different inferiority markers. For </w:t>
      </w:r>
      <w:r w:rsidRPr="006E2077">
        <w:rPr>
          <w:rFonts w:ascii="Times New Roman" w:eastAsia="Times New Roman" w:hAnsi="Times New Roman" w:cs="Times New Roman"/>
          <w:sz w:val="24"/>
          <w:szCs w:val="24"/>
        </w:rPr>
        <w:lastRenderedPageBreak/>
        <w:t xml:space="preserve">instance, </w:t>
      </w:r>
      <w:proofErr w:type="spellStart"/>
      <w:r w:rsidRPr="006E2077">
        <w:rPr>
          <w:rFonts w:ascii="Times New Roman" w:eastAsia="Times New Roman" w:hAnsi="Times New Roman" w:cs="Times New Roman"/>
          <w:sz w:val="24"/>
          <w:szCs w:val="24"/>
        </w:rPr>
        <w:t>Émile</w:t>
      </w:r>
      <w:proofErr w:type="spellEnd"/>
      <w:r w:rsidRPr="006E2077">
        <w:rPr>
          <w:rFonts w:ascii="Times New Roman" w:eastAsia="Times New Roman" w:hAnsi="Times New Roman" w:cs="Times New Roman"/>
          <w:sz w:val="24"/>
          <w:szCs w:val="24"/>
        </w:rPr>
        <w:t xml:space="preserve"> Durkheim, mostly referred as “father of sociology,” gender and racial capacity notes that unfortunately emerges an averagely ranked Parisian cranium men among the best crania while their women lowly ranked in observation (Merry, </w:t>
      </w:r>
      <w:proofErr w:type="spellStart"/>
      <w:r w:rsidRPr="006E2077">
        <w:rPr>
          <w:rFonts w:ascii="Times New Roman" w:eastAsia="Times New Roman" w:hAnsi="Times New Roman" w:cs="Times New Roman"/>
          <w:sz w:val="24"/>
          <w:szCs w:val="24"/>
        </w:rPr>
        <w:t>Weisner</w:t>
      </w:r>
      <w:proofErr w:type="spellEnd"/>
      <w:r w:rsidRPr="006E2077">
        <w:rPr>
          <w:rFonts w:ascii="Times New Roman" w:eastAsia="Times New Roman" w:hAnsi="Times New Roman" w:cs="Times New Roman"/>
          <w:sz w:val="24"/>
          <w:szCs w:val="24"/>
        </w:rPr>
        <w:t xml:space="preserve"> Hanks, 2011). Furthermore, amongst the smallest observed the Parisian women are minimally ranked while hardly with the New Caledonia women.</w:t>
      </w:r>
    </w:p>
    <w:p w:rsidR="00307B35" w:rsidRPr="009A2911" w:rsidRDefault="00307B35" w:rsidP="000A19F0">
      <w:pPr>
        <w:spacing w:line="480" w:lineRule="auto"/>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br w:type="page"/>
      </w:r>
    </w:p>
    <w:p w:rsidR="004F70A4" w:rsidRPr="009A2911" w:rsidRDefault="00307B35" w:rsidP="000A19F0">
      <w:pPr>
        <w:shd w:val="clear" w:color="auto" w:fill="FFFFFF"/>
        <w:spacing w:after="0" w:line="480" w:lineRule="auto"/>
        <w:jc w:val="center"/>
        <w:rPr>
          <w:rFonts w:ascii="Times New Roman" w:eastAsia="Times New Roman" w:hAnsi="Times New Roman" w:cs="Times New Roman"/>
          <w:sz w:val="24"/>
          <w:szCs w:val="24"/>
        </w:rPr>
      </w:pPr>
      <w:r w:rsidRPr="009A2911">
        <w:rPr>
          <w:rFonts w:ascii="Times New Roman" w:eastAsia="Times New Roman" w:hAnsi="Times New Roman" w:cs="Times New Roman"/>
          <w:sz w:val="24"/>
          <w:szCs w:val="24"/>
        </w:rPr>
        <w:lastRenderedPageBreak/>
        <w:t>Reference</w:t>
      </w:r>
      <w:r w:rsidR="00796F09">
        <w:rPr>
          <w:rFonts w:ascii="Times New Roman" w:eastAsia="Times New Roman" w:hAnsi="Times New Roman" w:cs="Times New Roman"/>
          <w:sz w:val="24"/>
          <w:szCs w:val="24"/>
        </w:rPr>
        <w:t>s</w:t>
      </w:r>
    </w:p>
    <w:p w:rsidR="009A2911" w:rsidRPr="009A2911" w:rsidRDefault="002C6D52" w:rsidP="000A19F0">
      <w:pPr>
        <w:pStyle w:val="copyright"/>
        <w:spacing w:before="0" w:beforeAutospacing="0" w:after="0" w:afterAutospacing="0" w:line="480" w:lineRule="auto"/>
        <w:ind w:left="720" w:hanging="720"/>
        <w:rPr>
          <w:rStyle w:val="werd"/>
        </w:rPr>
      </w:pPr>
      <w:r w:rsidRPr="009A2911">
        <w:t xml:space="preserve">Merry E., </w:t>
      </w:r>
      <w:proofErr w:type="spellStart"/>
      <w:r w:rsidRPr="009A2911">
        <w:t>Weisner</w:t>
      </w:r>
      <w:proofErr w:type="spellEnd"/>
      <w:r w:rsidRPr="009A2911">
        <w:t xml:space="preserve"> Hanks, </w:t>
      </w:r>
      <w:r w:rsidR="009A2911" w:rsidRPr="009A2911">
        <w:t>(</w:t>
      </w:r>
      <w:r w:rsidRPr="009A2911">
        <w:t>2011</w:t>
      </w:r>
      <w:r w:rsidR="009A2911" w:rsidRPr="009A2911">
        <w:t>)</w:t>
      </w:r>
      <w:r w:rsidRPr="009A2911">
        <w:t xml:space="preserve">. </w:t>
      </w:r>
      <w:r w:rsidRPr="009A2911">
        <w:rPr>
          <w:i/>
        </w:rPr>
        <w:t>Gender in History</w:t>
      </w:r>
      <w:r w:rsidR="009A2911" w:rsidRPr="009A2911">
        <w:t xml:space="preserve">: </w:t>
      </w:r>
      <w:r w:rsidR="009A2911" w:rsidRPr="009A2911">
        <w:rPr>
          <w:rStyle w:val="werd"/>
        </w:rPr>
        <w:t>Blackwell Publishing</w:t>
      </w:r>
      <w:r w:rsidR="009A2911" w:rsidRPr="009A2911">
        <w:t xml:space="preserve">. </w:t>
      </w:r>
      <w:hyperlink r:id="rId6" w:history="1">
        <w:r w:rsidR="009A2911" w:rsidRPr="009A2911">
          <w:rPr>
            <w:rStyle w:val="werd"/>
            <w:bdr w:val="none" w:sz="0" w:space="0" w:color="auto" w:frame="1"/>
          </w:rPr>
          <w:t>www.wiley.com/wiley-blackwell</w:t>
        </w:r>
      </w:hyperlink>
      <w:bookmarkStart w:id="0" w:name="_GoBack"/>
      <w:bookmarkEnd w:id="0"/>
    </w:p>
    <w:p w:rsidR="009A2911" w:rsidRPr="009A2911" w:rsidRDefault="009A2911" w:rsidP="000A19F0">
      <w:pPr>
        <w:pStyle w:val="copyright"/>
        <w:spacing w:before="0" w:beforeAutospacing="0" w:after="0" w:afterAutospacing="0" w:line="480" w:lineRule="auto"/>
        <w:ind w:left="720" w:hanging="720"/>
      </w:pPr>
      <w:r w:rsidRPr="009A2911">
        <w:rPr>
          <w:rStyle w:val="element-citation"/>
        </w:rPr>
        <w:t xml:space="preserve">Blackbeard D. R., </w:t>
      </w:r>
      <w:proofErr w:type="spellStart"/>
      <w:r w:rsidRPr="009A2911">
        <w:rPr>
          <w:rStyle w:val="element-citation"/>
        </w:rPr>
        <w:t>Lindegger</w:t>
      </w:r>
      <w:proofErr w:type="spellEnd"/>
      <w:r w:rsidRPr="009A2911">
        <w:rPr>
          <w:rStyle w:val="element-citation"/>
        </w:rPr>
        <w:t xml:space="preserve"> G., (2014). </w:t>
      </w:r>
      <w:r w:rsidRPr="009A2911">
        <w:rPr>
          <w:rStyle w:val="element-citation"/>
          <w:i/>
        </w:rPr>
        <w:t xml:space="preserve">Dialogues through </w:t>
      </w:r>
      <w:proofErr w:type="spellStart"/>
      <w:r w:rsidRPr="009A2911">
        <w:rPr>
          <w:rStyle w:val="element-citation"/>
          <w:i/>
        </w:rPr>
        <w:t>autophotography</w:t>
      </w:r>
      <w:proofErr w:type="spellEnd"/>
      <w:r w:rsidRPr="009A2911">
        <w:rPr>
          <w:rStyle w:val="element-citation"/>
          <w:i/>
        </w:rPr>
        <w:t>: young masculinity and HIV identity in KwaZulu-Natal.</w:t>
      </w:r>
      <w:r w:rsidRPr="009A2911">
        <w:rPr>
          <w:rStyle w:val="element-citation"/>
        </w:rPr>
        <w:t xml:space="preserve"> </w:t>
      </w:r>
      <w:r w:rsidRPr="009A2911">
        <w:rPr>
          <w:rStyle w:val="Emphasis"/>
          <w:i w:val="0"/>
        </w:rPr>
        <w:t xml:space="preserve">European Journal of Social and </w:t>
      </w:r>
      <w:proofErr w:type="spellStart"/>
      <w:r w:rsidRPr="009A2911">
        <w:rPr>
          <w:rStyle w:val="Emphasis"/>
          <w:i w:val="0"/>
        </w:rPr>
        <w:t>Behavioural</w:t>
      </w:r>
      <w:proofErr w:type="spellEnd"/>
      <w:r w:rsidRPr="009A2911">
        <w:rPr>
          <w:rStyle w:val="Emphasis"/>
          <w:i w:val="0"/>
        </w:rPr>
        <w:t xml:space="preserve"> Sciences</w:t>
      </w:r>
      <w:r w:rsidRPr="009A2911">
        <w:rPr>
          <w:rStyle w:val="ref-journal"/>
          <w:i/>
        </w:rPr>
        <w:t>.</w:t>
      </w:r>
      <w:r w:rsidRPr="009A2911">
        <w:rPr>
          <w:rStyle w:val="ref-journal"/>
        </w:rPr>
        <w:t xml:space="preserve"> </w:t>
      </w:r>
      <w:r w:rsidRPr="009A2911">
        <w:rPr>
          <w:rStyle w:val="element-citation"/>
        </w:rPr>
        <w:t>2014</w:t>
      </w:r>
      <w:proofErr w:type="gramStart"/>
      <w:r w:rsidRPr="009A2911">
        <w:rPr>
          <w:rStyle w:val="element-citation"/>
        </w:rPr>
        <w:t>;</w:t>
      </w:r>
      <w:r w:rsidRPr="009A2911">
        <w:rPr>
          <w:rStyle w:val="ref-vol"/>
        </w:rPr>
        <w:t>10</w:t>
      </w:r>
      <w:r w:rsidRPr="009A2911">
        <w:rPr>
          <w:rStyle w:val="element-citation"/>
        </w:rPr>
        <w:t>:1466</w:t>
      </w:r>
      <w:proofErr w:type="gramEnd"/>
      <w:r w:rsidRPr="009A2911">
        <w:rPr>
          <w:rStyle w:val="element-citation"/>
        </w:rPr>
        <w:t>–1477.</w:t>
      </w:r>
    </w:p>
    <w:p w:rsidR="00307B35" w:rsidRPr="009A2911" w:rsidRDefault="00307B35" w:rsidP="000A19F0">
      <w:pPr>
        <w:shd w:val="clear" w:color="auto" w:fill="FFFFFF"/>
        <w:spacing w:after="0" w:line="480" w:lineRule="auto"/>
        <w:rPr>
          <w:rFonts w:ascii="Times New Roman" w:eastAsia="Times New Roman" w:hAnsi="Times New Roman" w:cs="Times New Roman"/>
          <w:sz w:val="24"/>
          <w:szCs w:val="24"/>
        </w:rPr>
      </w:pPr>
    </w:p>
    <w:p w:rsidR="002C6D52" w:rsidRPr="009A2911" w:rsidRDefault="002C6D52" w:rsidP="000A19F0">
      <w:pPr>
        <w:shd w:val="clear" w:color="auto" w:fill="FFFFFF"/>
        <w:spacing w:after="0" w:line="480" w:lineRule="auto"/>
        <w:rPr>
          <w:rFonts w:ascii="Times New Roman" w:eastAsia="Times New Roman" w:hAnsi="Times New Roman" w:cs="Times New Roman"/>
          <w:sz w:val="24"/>
          <w:szCs w:val="24"/>
        </w:rPr>
      </w:pPr>
    </w:p>
    <w:sectPr w:rsidR="002C6D52" w:rsidRPr="009A2911" w:rsidSect="00307B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813" w:rsidRDefault="00763813" w:rsidP="00307B35">
      <w:pPr>
        <w:spacing w:after="0" w:line="240" w:lineRule="auto"/>
      </w:pPr>
      <w:r>
        <w:separator/>
      </w:r>
    </w:p>
  </w:endnote>
  <w:endnote w:type="continuationSeparator" w:id="0">
    <w:p w:rsidR="00763813" w:rsidRDefault="00763813" w:rsidP="00307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813" w:rsidRDefault="00763813" w:rsidP="00307B35">
      <w:pPr>
        <w:spacing w:after="0" w:line="240" w:lineRule="auto"/>
      </w:pPr>
      <w:r>
        <w:separator/>
      </w:r>
    </w:p>
  </w:footnote>
  <w:footnote w:type="continuationSeparator" w:id="0">
    <w:p w:rsidR="00763813" w:rsidRDefault="00763813" w:rsidP="00307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B35" w:rsidRPr="00307B35" w:rsidRDefault="00307B35" w:rsidP="00307B35">
    <w:pPr>
      <w:pStyle w:val="Header"/>
      <w:spacing w:line="480" w:lineRule="auto"/>
      <w:jc w:val="right"/>
      <w:rPr>
        <w:rFonts w:ascii="Times New Roman" w:hAnsi="Times New Roman" w:cs="Times New Roman"/>
        <w:sz w:val="24"/>
        <w:szCs w:val="24"/>
      </w:rPr>
    </w:pPr>
    <w:r w:rsidRPr="00307B35">
      <w:rPr>
        <w:rFonts w:ascii="Times New Roman" w:eastAsia="Times New Roman" w:hAnsi="Times New Roman" w:cs="Times New Roman"/>
        <w:sz w:val="24"/>
        <w:szCs w:val="24"/>
      </w:rPr>
      <w:t>GENDER IN HISTORY</w:t>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sdt>
      <w:sdtPr>
        <w:rPr>
          <w:rFonts w:ascii="Times New Roman" w:hAnsi="Times New Roman" w:cs="Times New Roman"/>
          <w:sz w:val="24"/>
          <w:szCs w:val="24"/>
        </w:rPr>
        <w:id w:val="33888837"/>
        <w:docPartObj>
          <w:docPartGallery w:val="Page Numbers (Top of Page)"/>
          <w:docPartUnique/>
        </w:docPartObj>
      </w:sdtPr>
      <w:sdtEndPr/>
      <w:sdtContent>
        <w:r w:rsidRPr="00307B35">
          <w:rPr>
            <w:rFonts w:ascii="Times New Roman" w:hAnsi="Times New Roman" w:cs="Times New Roman"/>
            <w:sz w:val="24"/>
            <w:szCs w:val="24"/>
          </w:rPr>
          <w:fldChar w:fldCharType="begin"/>
        </w:r>
        <w:r w:rsidRPr="00307B35">
          <w:rPr>
            <w:rFonts w:ascii="Times New Roman" w:hAnsi="Times New Roman" w:cs="Times New Roman"/>
            <w:sz w:val="24"/>
            <w:szCs w:val="24"/>
          </w:rPr>
          <w:instrText xml:space="preserve"> PAGE   \* MERGEFORMAT </w:instrText>
        </w:r>
        <w:r w:rsidRPr="00307B35">
          <w:rPr>
            <w:rFonts w:ascii="Times New Roman" w:hAnsi="Times New Roman" w:cs="Times New Roman"/>
            <w:sz w:val="24"/>
            <w:szCs w:val="24"/>
          </w:rPr>
          <w:fldChar w:fldCharType="separate"/>
        </w:r>
        <w:r w:rsidR="00796F09">
          <w:rPr>
            <w:rFonts w:ascii="Times New Roman" w:hAnsi="Times New Roman" w:cs="Times New Roman"/>
            <w:noProof/>
            <w:sz w:val="24"/>
            <w:szCs w:val="24"/>
          </w:rPr>
          <w:t>3</w:t>
        </w:r>
        <w:r w:rsidRPr="00307B3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B35" w:rsidRPr="00307B35" w:rsidRDefault="00307B35" w:rsidP="00307B35">
    <w:pPr>
      <w:shd w:val="clear" w:color="auto" w:fill="FFFFFF"/>
      <w:spacing w:after="0" w:line="480" w:lineRule="auto"/>
      <w:jc w:val="center"/>
      <w:rPr>
        <w:rFonts w:ascii="Times New Roman" w:eastAsia="Times New Roman" w:hAnsi="Times New Roman" w:cs="Times New Roman"/>
        <w:sz w:val="24"/>
        <w:szCs w:val="24"/>
      </w:rPr>
    </w:pPr>
    <w:r w:rsidRPr="00307B35">
      <w:rPr>
        <w:rFonts w:ascii="Times New Roman" w:hAnsi="Times New Roman" w:cs="Times New Roman"/>
        <w:sz w:val="24"/>
        <w:szCs w:val="24"/>
      </w:rPr>
      <w:t xml:space="preserve">Running Head: </w:t>
    </w:r>
    <w:r w:rsidRPr="00307B35">
      <w:rPr>
        <w:rFonts w:ascii="Times New Roman" w:eastAsia="Times New Roman" w:hAnsi="Times New Roman" w:cs="Times New Roman"/>
        <w:sz w:val="24"/>
        <w:szCs w:val="24"/>
      </w:rPr>
      <w:t>GENDER IN HISTORY</w:t>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r w:rsidRPr="00307B35">
      <w:rPr>
        <w:rFonts w:ascii="Times New Roman" w:eastAsia="Times New Roman" w:hAnsi="Times New Roman" w:cs="Times New Roman"/>
        <w:sz w:val="24"/>
        <w:szCs w:val="24"/>
      </w:rPr>
      <w:tab/>
    </w:r>
    <w:sdt>
      <w:sdtPr>
        <w:rPr>
          <w:rFonts w:ascii="Times New Roman" w:hAnsi="Times New Roman" w:cs="Times New Roman"/>
          <w:sz w:val="24"/>
          <w:szCs w:val="24"/>
        </w:rPr>
        <w:id w:val="33888797"/>
        <w:docPartObj>
          <w:docPartGallery w:val="Page Numbers (Top of Page)"/>
          <w:docPartUnique/>
        </w:docPartObj>
      </w:sdtPr>
      <w:sdtEndPr/>
      <w:sdtContent>
        <w:r w:rsidRPr="00307B35">
          <w:rPr>
            <w:rFonts w:ascii="Times New Roman" w:hAnsi="Times New Roman" w:cs="Times New Roman"/>
            <w:sz w:val="24"/>
            <w:szCs w:val="24"/>
          </w:rPr>
          <w:fldChar w:fldCharType="begin"/>
        </w:r>
        <w:r w:rsidRPr="00307B35">
          <w:rPr>
            <w:rFonts w:ascii="Times New Roman" w:hAnsi="Times New Roman" w:cs="Times New Roman"/>
            <w:sz w:val="24"/>
            <w:szCs w:val="24"/>
          </w:rPr>
          <w:instrText xml:space="preserve"> PAGE   \* MERGEFORMAT </w:instrText>
        </w:r>
        <w:r w:rsidRPr="00307B35">
          <w:rPr>
            <w:rFonts w:ascii="Times New Roman" w:hAnsi="Times New Roman" w:cs="Times New Roman"/>
            <w:sz w:val="24"/>
            <w:szCs w:val="24"/>
          </w:rPr>
          <w:fldChar w:fldCharType="separate"/>
        </w:r>
        <w:r w:rsidR="00796F09">
          <w:rPr>
            <w:rFonts w:ascii="Times New Roman" w:hAnsi="Times New Roman" w:cs="Times New Roman"/>
            <w:noProof/>
            <w:sz w:val="24"/>
            <w:szCs w:val="24"/>
          </w:rPr>
          <w:t>1</w:t>
        </w:r>
        <w:r w:rsidRPr="00307B3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41D"/>
    <w:rsid w:val="00013E21"/>
    <w:rsid w:val="00014C9B"/>
    <w:rsid w:val="00025ED6"/>
    <w:rsid w:val="0003088F"/>
    <w:rsid w:val="0004263C"/>
    <w:rsid w:val="00051880"/>
    <w:rsid w:val="00086D34"/>
    <w:rsid w:val="000A19F0"/>
    <w:rsid w:val="000A4CF0"/>
    <w:rsid w:val="000C1544"/>
    <w:rsid w:val="000D47FD"/>
    <w:rsid w:val="000E13AA"/>
    <w:rsid w:val="001027DD"/>
    <w:rsid w:val="00111331"/>
    <w:rsid w:val="001167A2"/>
    <w:rsid w:val="0012656A"/>
    <w:rsid w:val="00127B5A"/>
    <w:rsid w:val="00153372"/>
    <w:rsid w:val="00153B38"/>
    <w:rsid w:val="001A32FE"/>
    <w:rsid w:val="001B1FB1"/>
    <w:rsid w:val="001F2BBB"/>
    <w:rsid w:val="00207529"/>
    <w:rsid w:val="002254B2"/>
    <w:rsid w:val="00235C83"/>
    <w:rsid w:val="00240A08"/>
    <w:rsid w:val="002677E0"/>
    <w:rsid w:val="00296484"/>
    <w:rsid w:val="002C6D52"/>
    <w:rsid w:val="00301144"/>
    <w:rsid w:val="00307B35"/>
    <w:rsid w:val="0031650B"/>
    <w:rsid w:val="00327EAA"/>
    <w:rsid w:val="00340F51"/>
    <w:rsid w:val="0039577C"/>
    <w:rsid w:val="003A60F2"/>
    <w:rsid w:val="003C39EE"/>
    <w:rsid w:val="003D5FE0"/>
    <w:rsid w:val="003D6D14"/>
    <w:rsid w:val="003E2269"/>
    <w:rsid w:val="003E2DB3"/>
    <w:rsid w:val="00403706"/>
    <w:rsid w:val="0041785C"/>
    <w:rsid w:val="0043371C"/>
    <w:rsid w:val="004359F4"/>
    <w:rsid w:val="00451565"/>
    <w:rsid w:val="00457EE9"/>
    <w:rsid w:val="004757C7"/>
    <w:rsid w:val="004808AB"/>
    <w:rsid w:val="004A1F42"/>
    <w:rsid w:val="004A5D0E"/>
    <w:rsid w:val="004F70A4"/>
    <w:rsid w:val="00502E4F"/>
    <w:rsid w:val="00511229"/>
    <w:rsid w:val="00514815"/>
    <w:rsid w:val="005666DE"/>
    <w:rsid w:val="00567991"/>
    <w:rsid w:val="00581484"/>
    <w:rsid w:val="005B7C81"/>
    <w:rsid w:val="005F0314"/>
    <w:rsid w:val="00607550"/>
    <w:rsid w:val="00631047"/>
    <w:rsid w:val="00646183"/>
    <w:rsid w:val="00656FAD"/>
    <w:rsid w:val="00676C8B"/>
    <w:rsid w:val="006940D1"/>
    <w:rsid w:val="00694538"/>
    <w:rsid w:val="006E2077"/>
    <w:rsid w:val="00725139"/>
    <w:rsid w:val="00730AEA"/>
    <w:rsid w:val="007439A9"/>
    <w:rsid w:val="00743EA4"/>
    <w:rsid w:val="00762F18"/>
    <w:rsid w:val="00763813"/>
    <w:rsid w:val="007706B0"/>
    <w:rsid w:val="00792B41"/>
    <w:rsid w:val="00796F09"/>
    <w:rsid w:val="00797198"/>
    <w:rsid w:val="007B339A"/>
    <w:rsid w:val="007B63A4"/>
    <w:rsid w:val="007D6AB6"/>
    <w:rsid w:val="00836776"/>
    <w:rsid w:val="008506D3"/>
    <w:rsid w:val="00853B58"/>
    <w:rsid w:val="008A3D94"/>
    <w:rsid w:val="008D7FE3"/>
    <w:rsid w:val="008E3EAF"/>
    <w:rsid w:val="00915E2D"/>
    <w:rsid w:val="009258B6"/>
    <w:rsid w:val="00990607"/>
    <w:rsid w:val="009A2911"/>
    <w:rsid w:val="009E41B6"/>
    <w:rsid w:val="00A2391B"/>
    <w:rsid w:val="00A4641D"/>
    <w:rsid w:val="00A62FD1"/>
    <w:rsid w:val="00AB3104"/>
    <w:rsid w:val="00AD3F87"/>
    <w:rsid w:val="00AD6BB6"/>
    <w:rsid w:val="00B25980"/>
    <w:rsid w:val="00B300AA"/>
    <w:rsid w:val="00B3237E"/>
    <w:rsid w:val="00B34196"/>
    <w:rsid w:val="00B6335C"/>
    <w:rsid w:val="00B8372D"/>
    <w:rsid w:val="00B92505"/>
    <w:rsid w:val="00BA0AB6"/>
    <w:rsid w:val="00BA7B16"/>
    <w:rsid w:val="00BE6561"/>
    <w:rsid w:val="00C039EA"/>
    <w:rsid w:val="00C05E8C"/>
    <w:rsid w:val="00C135D6"/>
    <w:rsid w:val="00C1560B"/>
    <w:rsid w:val="00C33EF1"/>
    <w:rsid w:val="00C45078"/>
    <w:rsid w:val="00C5378B"/>
    <w:rsid w:val="00C6122C"/>
    <w:rsid w:val="00C73EB3"/>
    <w:rsid w:val="00C76DB4"/>
    <w:rsid w:val="00CC21B5"/>
    <w:rsid w:val="00D01FE6"/>
    <w:rsid w:val="00D0491A"/>
    <w:rsid w:val="00D2287B"/>
    <w:rsid w:val="00D2396D"/>
    <w:rsid w:val="00D4254B"/>
    <w:rsid w:val="00D568A8"/>
    <w:rsid w:val="00D7424B"/>
    <w:rsid w:val="00D81200"/>
    <w:rsid w:val="00DD054B"/>
    <w:rsid w:val="00DD6A1D"/>
    <w:rsid w:val="00DE6221"/>
    <w:rsid w:val="00DF02A3"/>
    <w:rsid w:val="00DF79E4"/>
    <w:rsid w:val="00E02B57"/>
    <w:rsid w:val="00E15B7E"/>
    <w:rsid w:val="00E20666"/>
    <w:rsid w:val="00E63BE1"/>
    <w:rsid w:val="00E742CF"/>
    <w:rsid w:val="00E743FD"/>
    <w:rsid w:val="00EA689D"/>
    <w:rsid w:val="00EB3644"/>
    <w:rsid w:val="00EC0E4A"/>
    <w:rsid w:val="00EE2185"/>
    <w:rsid w:val="00F045B7"/>
    <w:rsid w:val="00F102A7"/>
    <w:rsid w:val="00F1373D"/>
    <w:rsid w:val="00F15C51"/>
    <w:rsid w:val="00F44203"/>
    <w:rsid w:val="00F51D8E"/>
    <w:rsid w:val="00F63AE8"/>
    <w:rsid w:val="00F95245"/>
    <w:rsid w:val="00FF0B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DE6915-7CD1-4EA8-919C-5D04C07BB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92505"/>
    <w:rPr>
      <w:i/>
      <w:iCs/>
    </w:rPr>
  </w:style>
  <w:style w:type="paragraph" w:styleId="Header">
    <w:name w:val="header"/>
    <w:basedOn w:val="Normal"/>
    <w:link w:val="HeaderChar"/>
    <w:uiPriority w:val="99"/>
    <w:unhideWhenUsed/>
    <w:rsid w:val="00307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B35"/>
  </w:style>
  <w:style w:type="paragraph" w:styleId="Footer">
    <w:name w:val="footer"/>
    <w:basedOn w:val="Normal"/>
    <w:link w:val="FooterChar"/>
    <w:uiPriority w:val="99"/>
    <w:unhideWhenUsed/>
    <w:rsid w:val="00307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B35"/>
  </w:style>
  <w:style w:type="character" w:customStyle="1" w:styleId="werd">
    <w:name w:val="werd"/>
    <w:basedOn w:val="DefaultParagraphFont"/>
    <w:rsid w:val="009A2911"/>
  </w:style>
  <w:style w:type="paragraph" w:customStyle="1" w:styleId="copyright">
    <w:name w:val="copyright"/>
    <w:basedOn w:val="Normal"/>
    <w:rsid w:val="009A29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9A2911"/>
  </w:style>
  <w:style w:type="character" w:customStyle="1" w:styleId="ref-journal">
    <w:name w:val="ref-journal"/>
    <w:basedOn w:val="DefaultParagraphFont"/>
    <w:rsid w:val="009A2911"/>
  </w:style>
  <w:style w:type="character" w:customStyle="1" w:styleId="ref-vol">
    <w:name w:val="ref-vol"/>
    <w:basedOn w:val="DefaultParagraphFont"/>
    <w:rsid w:val="009A2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011519">
      <w:bodyDiv w:val="1"/>
      <w:marLeft w:val="0"/>
      <w:marRight w:val="0"/>
      <w:marTop w:val="0"/>
      <w:marBottom w:val="0"/>
      <w:divBdr>
        <w:top w:val="none" w:sz="0" w:space="0" w:color="auto"/>
        <w:left w:val="none" w:sz="0" w:space="0" w:color="auto"/>
        <w:bottom w:val="none" w:sz="0" w:space="0" w:color="auto"/>
        <w:right w:val="none" w:sz="0" w:space="0" w:color="auto"/>
      </w:divBdr>
      <w:divsChild>
        <w:div w:id="115410266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ley.com/wiley-blackwel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2392</Characters>
  <Application>Microsoft Office Word</Application>
  <DocSecurity>0</DocSecurity>
  <Lines>19</Lines>
  <Paragraphs>5</Paragraphs>
  <ScaleCrop>false</ScaleCrop>
  <Company/>
  <LinksUpToDate>false</LinksUpToDate>
  <CharactersWithSpaces>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2018-07-09T20:27:00Z</dcterms:created>
  <dcterms:modified xsi:type="dcterms:W3CDTF">2018-07-09T20:27:00Z</dcterms:modified>
</cp:coreProperties>
</file>