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r w:rsidRPr="00C16406">
        <w:rPr>
          <w:rFonts w:ascii="Times New Roman" w:eastAsia="Times New Roman" w:hAnsi="Times New Roman" w:cs="Times New Roman"/>
          <w:color w:val="111111"/>
          <w:sz w:val="24"/>
          <w:szCs w:val="24"/>
        </w:rPr>
        <w:t xml:space="preserve">Foreign Corrupt Practices </w:t>
      </w:r>
      <w:r>
        <w:rPr>
          <w:rFonts w:ascii="Times New Roman" w:eastAsia="Times New Roman" w:hAnsi="Times New Roman" w:cs="Times New Roman"/>
          <w:color w:val="111111"/>
          <w:sz w:val="24"/>
          <w:szCs w:val="24"/>
        </w:rPr>
        <w:t>A</w:t>
      </w:r>
      <w:r w:rsidRPr="00C16406">
        <w:rPr>
          <w:rFonts w:ascii="Times New Roman" w:eastAsia="Times New Roman" w:hAnsi="Times New Roman" w:cs="Times New Roman"/>
          <w:color w:val="111111"/>
          <w:sz w:val="24"/>
          <w:szCs w:val="24"/>
        </w:rPr>
        <w:t>ct</w:t>
      </w:r>
    </w:p>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Author’s Name</w:t>
      </w:r>
    </w:p>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Institutional Affiliation</w:t>
      </w:r>
    </w:p>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Date</w:t>
      </w:r>
    </w:p>
    <w:p w:rsidR="00C16406" w:rsidRDefault="00C16406"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C16406" w:rsidRDefault="00C16406"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r w:rsidRPr="00C16406">
        <w:rPr>
          <w:rFonts w:ascii="Times New Roman" w:eastAsia="Times New Roman" w:hAnsi="Times New Roman" w:cs="Times New Roman"/>
          <w:color w:val="111111"/>
          <w:sz w:val="24"/>
          <w:szCs w:val="24"/>
        </w:rPr>
        <w:lastRenderedPageBreak/>
        <w:t xml:space="preserve">Foreign Corrupt Practices </w:t>
      </w:r>
      <w:r>
        <w:rPr>
          <w:rFonts w:ascii="Times New Roman" w:eastAsia="Times New Roman" w:hAnsi="Times New Roman" w:cs="Times New Roman"/>
          <w:color w:val="111111"/>
          <w:sz w:val="24"/>
          <w:szCs w:val="24"/>
        </w:rPr>
        <w:t>A</w:t>
      </w:r>
      <w:r w:rsidRPr="00C16406">
        <w:rPr>
          <w:rFonts w:ascii="Times New Roman" w:eastAsia="Times New Roman" w:hAnsi="Times New Roman" w:cs="Times New Roman"/>
          <w:color w:val="111111"/>
          <w:sz w:val="24"/>
          <w:szCs w:val="24"/>
        </w:rPr>
        <w:t>ct</w:t>
      </w: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Foreign Corrupt Practices Act</w:t>
      </w:r>
    </w:p>
    <w:p w:rsidR="0005629F" w:rsidRPr="0005629F" w:rsidRDefault="0005629F" w:rsidP="0005629F">
      <w:pPr>
        <w:shd w:val="clear" w:color="auto" w:fill="FFFFFF"/>
        <w:spacing w:before="100" w:beforeAutospacing="1" w:after="100" w:afterAutospacing="1" w:line="480" w:lineRule="auto"/>
        <w:ind w:firstLine="720"/>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The Foreign Corrupt Practices act is an American statute that prohibits individuals and firms from paying bribes to foreign officials (Persons, 2020). The law is enforced by the Securities and Exchange Commission and the Department of Justice. The existence of the act had helped to level ground for US businesses abroad. In the initiation of the Statute, some foreign companies took and paid bribe as a regular business activity in that they could record them as business expenses. Upon establishing this law, some companies protested since they did not expect fair treatment, particularly in the countries that took a bribe. The anti-bribery regime and adoption of treaties made signatory countries to outlaw the financial crime, which leveled the playing field for US firms (Persons, 2020). The act has two major provisions: the anti-bribery and book, record, and internal control provision. The anti-bribery provision help to deter corruption and abuse of power. Also, it ensures that the use of proxies to take bribe does not protect individual culpability. Books, records, and internal control provisions improve accounting transparency.</w:t>
      </w: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Examples of Violation of the act</w:t>
      </w:r>
    </w:p>
    <w:p w:rsidR="0005629F" w:rsidRPr="0005629F" w:rsidRDefault="0005629F" w:rsidP="0005629F">
      <w:pPr>
        <w:shd w:val="clear" w:color="auto" w:fill="FFFFFF"/>
        <w:spacing w:before="100" w:beforeAutospacing="1" w:after="100" w:afterAutospacing="1" w:line="480" w:lineRule="auto"/>
        <w:ind w:firstLine="720"/>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 xml:space="preserve">The primary examples of FCPA violations include using bribes to gain business (Ballas &amp; Demirakos, 2018).  The US-based wire and cable manufacturer paid $ 75 million to win business in different foreign countries. Another violation is bribing to approve a project, including gifting money to get government and other official business ventures and using the </w:t>
      </w:r>
      <w:r w:rsidRPr="0005629F">
        <w:rPr>
          <w:rFonts w:ascii="Times New Roman" w:eastAsia="Times New Roman" w:hAnsi="Times New Roman" w:cs="Times New Roman"/>
          <w:color w:val="111111"/>
          <w:sz w:val="24"/>
          <w:szCs w:val="24"/>
        </w:rPr>
        <w:lastRenderedPageBreak/>
        <w:t>payment to induce the doctor's endorsement (Ballas &amp; Demirakos, 2018). The foreign subsidiary firm either give high discounts or pay bribes to ensure government-employed health practitioners use their products. Also, making payments to gain business from political figures, which amounts to misuse of power. The final example of a violation is failing to keep a proper book and financial records for transparency and accountability.</w:t>
      </w: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Actions amounting to Violation</w:t>
      </w:r>
    </w:p>
    <w:p w:rsidR="0005629F" w:rsidRPr="0005629F" w:rsidRDefault="0005629F" w:rsidP="0005629F">
      <w:pPr>
        <w:shd w:val="clear" w:color="auto" w:fill="FFFFFF"/>
        <w:spacing w:before="100" w:beforeAutospacing="1" w:after="100" w:afterAutospacing="1" w:line="480" w:lineRule="auto"/>
        <w:ind w:firstLine="720"/>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For an action to amount into violations of FCPA, there is money received where the payor intended to get business benefits (Ballas &amp; Demirakos, 2018). As indicated in the case scenario, the accountant oversaw a financial report that showed $ 50 million questionable payments. The excess amount and questionable expenses in the financial information act as a red flag for violation of the act.</w:t>
      </w: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Consequence of Violation</w:t>
      </w:r>
    </w:p>
    <w:p w:rsidR="0005629F" w:rsidRPr="0005629F" w:rsidRDefault="0005629F" w:rsidP="0005629F">
      <w:pPr>
        <w:shd w:val="clear" w:color="auto" w:fill="FFFFFF"/>
        <w:spacing w:before="100" w:beforeAutospacing="1" w:after="100" w:afterAutospacing="1" w:line="480" w:lineRule="auto"/>
        <w:ind w:firstLine="720"/>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The enforcement act rests on the Department of Justice and Security and Exchange Commission, and upon the violation of the act, the business may face penalties and sanctions. Also, criminal action and civil action may be charged (Ballas &amp; Demirakos, 2018). As a result, the firm may pay hefty fines, which could be twice the benefit expected. For corporate entities engaged in the misconduct</w:t>
      </w:r>
      <w:r w:rsidRPr="0005629F">
        <w:rPr>
          <w:rFonts w:ascii="Times New Roman" w:eastAsia="Times New Roman" w:hAnsi="Times New Roman" w:cs="Times New Roman"/>
          <w:color w:val="111111"/>
          <w:sz w:val="24"/>
          <w:szCs w:val="24"/>
        </w:rPr>
        <w:t>, independent</w:t>
      </w:r>
      <w:r w:rsidRPr="0005629F">
        <w:rPr>
          <w:rFonts w:ascii="Times New Roman" w:eastAsia="Times New Roman" w:hAnsi="Times New Roman" w:cs="Times New Roman"/>
          <w:color w:val="111111"/>
          <w:sz w:val="24"/>
          <w:szCs w:val="24"/>
        </w:rPr>
        <w:t xml:space="preserve"> auditor's oversight may be enforced to ensure they comply with the FCPA guidelines in the future (Ballas &amp; Demirakos, 2018). An individual can face imprisonment like the accountant of Siemen.</w:t>
      </w: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Recommended action to report possible violations</w:t>
      </w:r>
    </w:p>
    <w:p w:rsidR="0005629F" w:rsidRPr="0005629F" w:rsidRDefault="0005629F" w:rsidP="0005629F">
      <w:pPr>
        <w:shd w:val="clear" w:color="auto" w:fill="FFFFFF"/>
        <w:spacing w:before="100" w:beforeAutospacing="1" w:after="100" w:afterAutospacing="1" w:line="480" w:lineRule="auto"/>
        <w:ind w:firstLine="720"/>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lastRenderedPageBreak/>
        <w:t>In case an individual knows bribery payment of any kind, they are expected to report to the Securities and Exchange Commission under the whistleblowers' program (McAllister, 2017). Through the program, a person gets protection and also rewards for reporting possible violations.</w:t>
      </w: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Protection for Whistleblowers</w:t>
      </w:r>
    </w:p>
    <w:p w:rsidR="0005629F" w:rsidRPr="0005629F" w:rsidRDefault="0005629F" w:rsidP="0005629F">
      <w:pPr>
        <w:shd w:val="clear" w:color="auto" w:fill="FFFFFF"/>
        <w:spacing w:before="100" w:beforeAutospacing="1" w:after="100" w:afterAutospacing="1" w:line="480" w:lineRule="auto"/>
        <w:ind w:firstLine="720"/>
        <w:rPr>
          <w:rFonts w:ascii="Times New Roman" w:eastAsia="Times New Roman" w:hAnsi="Times New Roman" w:cs="Times New Roman"/>
          <w:color w:val="111111"/>
          <w:sz w:val="24"/>
          <w:szCs w:val="24"/>
        </w:rPr>
      </w:pPr>
      <w:r w:rsidRPr="0005629F">
        <w:rPr>
          <w:rFonts w:ascii="Times New Roman" w:eastAsia="Times New Roman" w:hAnsi="Times New Roman" w:cs="Times New Roman"/>
          <w:color w:val="111111"/>
          <w:sz w:val="24"/>
          <w:szCs w:val="24"/>
        </w:rPr>
        <w:t>The Whistleblower program provided by the Security Exchange commission allows those who have information about the violation to report to SEC (McAllister ET AL., 2017). The whistleblowers are entitled to reward. Protection is vital in discouraging retaliation to the whistleblowers for disclosing potential securities law violations. Therefore the SEC uses section 806 of the Sarbanes-Oxley Act to protect internal whistleblowers and prevent retaliation activities (McAllister, 2017). The importance of encouraging, rewarding, and protecting whistleblowing ensures the public integrity of the market place is restored across the globe. It gives firms a fair competing ground even when acting in foreign countries. The protection of individuals helps the act carry its legal duties in protecting business and providing a fairground of operation. By protecting whistleblowers, it improves the enforceability of the law to violators and restores the integrity of doing business.</w:t>
      </w: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05629F" w:rsidRPr="0005629F" w:rsidRDefault="0005629F" w:rsidP="0005629F">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C517CD" w:rsidRPr="00C16406" w:rsidRDefault="00C517CD" w:rsidP="00C16406">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r w:rsidRPr="00C16406">
        <w:rPr>
          <w:rFonts w:ascii="Times New Roman" w:eastAsia="Times New Roman" w:hAnsi="Times New Roman" w:cs="Times New Roman"/>
          <w:color w:val="111111"/>
          <w:sz w:val="24"/>
          <w:szCs w:val="24"/>
        </w:rPr>
        <w:lastRenderedPageBreak/>
        <w:t>References</w:t>
      </w:r>
    </w:p>
    <w:p w:rsidR="0005629F" w:rsidRDefault="00C517CD" w:rsidP="00C16406">
      <w:pPr>
        <w:shd w:val="clear" w:color="auto" w:fill="FFFFFF"/>
        <w:spacing w:before="100" w:beforeAutospacing="1" w:after="100" w:afterAutospacing="1" w:line="480" w:lineRule="auto"/>
        <w:rPr>
          <w:rFonts w:ascii="Times New Roman" w:hAnsi="Times New Roman" w:cs="Times New Roman"/>
          <w:color w:val="222222"/>
          <w:sz w:val="24"/>
          <w:szCs w:val="24"/>
          <w:shd w:val="clear" w:color="auto" w:fill="FFFFFF"/>
        </w:rPr>
      </w:pPr>
      <w:r w:rsidRPr="00C16406">
        <w:rPr>
          <w:rFonts w:ascii="Times New Roman" w:hAnsi="Times New Roman" w:cs="Times New Roman"/>
          <w:color w:val="222222"/>
          <w:sz w:val="24"/>
          <w:szCs w:val="24"/>
          <w:shd w:val="clear" w:color="auto" w:fill="FFFFFF"/>
        </w:rPr>
        <w:t xml:space="preserve">Ballas, A., &amp; Demirakos, E. (2018). Do Financial Analysts Care About FCPA </w:t>
      </w:r>
    </w:p>
    <w:p w:rsidR="00C517CD" w:rsidRPr="00C16406" w:rsidRDefault="00C517CD" w:rsidP="0005629F">
      <w:pPr>
        <w:shd w:val="clear" w:color="auto" w:fill="FFFFFF"/>
        <w:spacing w:before="100" w:beforeAutospacing="1" w:after="100" w:afterAutospacing="1" w:line="480" w:lineRule="auto"/>
        <w:ind w:left="720"/>
        <w:rPr>
          <w:rFonts w:ascii="Times New Roman" w:hAnsi="Times New Roman" w:cs="Times New Roman"/>
          <w:color w:val="222222"/>
          <w:sz w:val="24"/>
          <w:szCs w:val="24"/>
          <w:shd w:val="clear" w:color="auto" w:fill="FFFFFF"/>
        </w:rPr>
      </w:pPr>
      <w:r w:rsidRPr="00C16406">
        <w:rPr>
          <w:rFonts w:ascii="Times New Roman" w:hAnsi="Times New Roman" w:cs="Times New Roman"/>
          <w:color w:val="222222"/>
          <w:sz w:val="24"/>
          <w:szCs w:val="24"/>
          <w:shd w:val="clear" w:color="auto" w:fill="FFFFFF"/>
        </w:rPr>
        <w:t>Violations?. </w:t>
      </w:r>
      <w:r w:rsidRPr="00C16406">
        <w:rPr>
          <w:rFonts w:ascii="Times New Roman" w:hAnsi="Times New Roman" w:cs="Times New Roman"/>
          <w:i/>
          <w:iCs/>
          <w:color w:val="222222"/>
          <w:sz w:val="24"/>
          <w:szCs w:val="24"/>
          <w:shd w:val="clear" w:color="auto" w:fill="FFFFFF"/>
        </w:rPr>
        <w:t>International Journal of Accounting, Auditing and Performance Evaluation, Forthcoming</w:t>
      </w:r>
      <w:r w:rsidRPr="00C16406">
        <w:rPr>
          <w:rFonts w:ascii="Times New Roman" w:hAnsi="Times New Roman" w:cs="Times New Roman"/>
          <w:color w:val="222222"/>
          <w:sz w:val="24"/>
          <w:szCs w:val="24"/>
          <w:shd w:val="clear" w:color="auto" w:fill="FFFFFF"/>
        </w:rPr>
        <w:t>.</w:t>
      </w:r>
    </w:p>
    <w:p w:rsidR="0005629F" w:rsidRDefault="00C517CD" w:rsidP="00C16406">
      <w:pPr>
        <w:shd w:val="clear" w:color="auto" w:fill="FFFFFF"/>
        <w:spacing w:before="100" w:beforeAutospacing="1" w:after="100" w:afterAutospacing="1" w:line="480" w:lineRule="auto"/>
        <w:rPr>
          <w:rFonts w:ascii="Times New Roman" w:hAnsi="Times New Roman" w:cs="Times New Roman"/>
          <w:i/>
          <w:iCs/>
          <w:color w:val="222222"/>
          <w:sz w:val="24"/>
          <w:szCs w:val="24"/>
          <w:shd w:val="clear" w:color="auto" w:fill="FFFFFF"/>
        </w:rPr>
      </w:pPr>
      <w:r w:rsidRPr="00C16406">
        <w:rPr>
          <w:rFonts w:ascii="Times New Roman" w:hAnsi="Times New Roman" w:cs="Times New Roman"/>
          <w:color w:val="222222"/>
          <w:sz w:val="24"/>
          <w:szCs w:val="24"/>
          <w:shd w:val="clear" w:color="auto" w:fill="FFFFFF"/>
        </w:rPr>
        <w:t>Persons, O. S. (2020). Corporate Governance Characteristics of FCPA Violators. </w:t>
      </w:r>
      <w:r w:rsidRPr="00C16406">
        <w:rPr>
          <w:rFonts w:ascii="Times New Roman" w:hAnsi="Times New Roman" w:cs="Times New Roman"/>
          <w:i/>
          <w:iCs/>
          <w:color w:val="222222"/>
          <w:sz w:val="24"/>
          <w:szCs w:val="24"/>
          <w:shd w:val="clear" w:color="auto" w:fill="FFFFFF"/>
        </w:rPr>
        <w:t xml:space="preserve">Journal of </w:t>
      </w:r>
    </w:p>
    <w:p w:rsidR="00C517CD" w:rsidRPr="00C16406" w:rsidRDefault="00C517CD" w:rsidP="0005629F">
      <w:pPr>
        <w:shd w:val="clear" w:color="auto" w:fill="FFFFFF"/>
        <w:spacing w:before="100" w:beforeAutospacing="1" w:after="100" w:afterAutospacing="1" w:line="480" w:lineRule="auto"/>
        <w:ind w:firstLine="720"/>
        <w:rPr>
          <w:rFonts w:ascii="Times New Roman" w:hAnsi="Times New Roman" w:cs="Times New Roman"/>
          <w:color w:val="222222"/>
          <w:sz w:val="24"/>
          <w:szCs w:val="24"/>
          <w:shd w:val="clear" w:color="auto" w:fill="FFFFFF"/>
        </w:rPr>
      </w:pPr>
      <w:r w:rsidRPr="00C16406">
        <w:rPr>
          <w:rFonts w:ascii="Times New Roman" w:hAnsi="Times New Roman" w:cs="Times New Roman"/>
          <w:i/>
          <w:iCs/>
          <w:color w:val="222222"/>
          <w:sz w:val="24"/>
          <w:szCs w:val="24"/>
          <w:shd w:val="clear" w:color="auto" w:fill="FFFFFF"/>
        </w:rPr>
        <w:t>Forensic and Investigative Accounting</w:t>
      </w:r>
      <w:r w:rsidRPr="00C16406">
        <w:rPr>
          <w:rFonts w:ascii="Times New Roman" w:hAnsi="Times New Roman" w:cs="Times New Roman"/>
          <w:color w:val="222222"/>
          <w:sz w:val="24"/>
          <w:szCs w:val="24"/>
          <w:shd w:val="clear" w:color="auto" w:fill="FFFFFF"/>
        </w:rPr>
        <w:t>, </w:t>
      </w:r>
      <w:r w:rsidRPr="00C16406">
        <w:rPr>
          <w:rFonts w:ascii="Times New Roman" w:hAnsi="Times New Roman" w:cs="Times New Roman"/>
          <w:i/>
          <w:iCs/>
          <w:color w:val="222222"/>
          <w:sz w:val="24"/>
          <w:szCs w:val="24"/>
          <w:shd w:val="clear" w:color="auto" w:fill="FFFFFF"/>
        </w:rPr>
        <w:t>12</w:t>
      </w:r>
      <w:r w:rsidRPr="00C16406">
        <w:rPr>
          <w:rFonts w:ascii="Times New Roman" w:hAnsi="Times New Roman" w:cs="Times New Roman"/>
          <w:color w:val="222222"/>
          <w:sz w:val="24"/>
          <w:szCs w:val="24"/>
          <w:shd w:val="clear" w:color="auto" w:fill="FFFFFF"/>
        </w:rPr>
        <w:t>(1).</w:t>
      </w:r>
    </w:p>
    <w:p w:rsidR="0005629F" w:rsidRDefault="00C517CD" w:rsidP="00C16406">
      <w:pPr>
        <w:shd w:val="clear" w:color="auto" w:fill="FFFFFF"/>
        <w:spacing w:before="100" w:beforeAutospacing="1" w:after="100" w:afterAutospacing="1" w:line="480" w:lineRule="auto"/>
        <w:rPr>
          <w:rFonts w:ascii="Times New Roman" w:hAnsi="Times New Roman" w:cs="Times New Roman"/>
          <w:color w:val="222222"/>
          <w:sz w:val="24"/>
          <w:szCs w:val="24"/>
          <w:shd w:val="clear" w:color="auto" w:fill="FFFFFF"/>
        </w:rPr>
      </w:pPr>
      <w:r w:rsidRPr="00C16406">
        <w:rPr>
          <w:rFonts w:ascii="Times New Roman" w:hAnsi="Times New Roman" w:cs="Times New Roman"/>
          <w:color w:val="222222"/>
          <w:sz w:val="24"/>
          <w:szCs w:val="24"/>
          <w:shd w:val="clear" w:color="auto" w:fill="FFFFFF"/>
        </w:rPr>
        <w:t xml:space="preserve">McAllister, B. J. (2017). The Impact of the Dodd-Frank Whistleblower Provisions on FCPA </w:t>
      </w:r>
    </w:p>
    <w:p w:rsidR="00C517CD" w:rsidRPr="00C16406" w:rsidRDefault="00C517CD" w:rsidP="0005629F">
      <w:pPr>
        <w:shd w:val="clear" w:color="auto" w:fill="FFFFFF"/>
        <w:spacing w:before="100" w:beforeAutospacing="1" w:after="100" w:afterAutospacing="1" w:line="480" w:lineRule="auto"/>
        <w:ind w:firstLine="720"/>
        <w:rPr>
          <w:rFonts w:ascii="Times New Roman" w:eastAsia="Times New Roman" w:hAnsi="Times New Roman" w:cs="Times New Roman"/>
          <w:color w:val="111111"/>
          <w:sz w:val="24"/>
          <w:szCs w:val="24"/>
        </w:rPr>
      </w:pPr>
      <w:bookmarkStart w:id="0" w:name="_GoBack"/>
      <w:bookmarkEnd w:id="0"/>
      <w:r w:rsidRPr="00C16406">
        <w:rPr>
          <w:rFonts w:ascii="Times New Roman" w:hAnsi="Times New Roman" w:cs="Times New Roman"/>
          <w:color w:val="222222"/>
          <w:sz w:val="24"/>
          <w:szCs w:val="24"/>
          <w:shd w:val="clear" w:color="auto" w:fill="FFFFFF"/>
        </w:rPr>
        <w:t>Enforcement and Modern Corporate Compliance Programs. </w:t>
      </w:r>
      <w:r w:rsidRPr="00C16406">
        <w:rPr>
          <w:rFonts w:ascii="Times New Roman" w:hAnsi="Times New Roman" w:cs="Times New Roman"/>
          <w:i/>
          <w:iCs/>
          <w:color w:val="222222"/>
          <w:sz w:val="24"/>
          <w:szCs w:val="24"/>
          <w:shd w:val="clear" w:color="auto" w:fill="FFFFFF"/>
        </w:rPr>
        <w:t>Berkeley Bus. LJ</w:t>
      </w:r>
      <w:r w:rsidRPr="00C16406">
        <w:rPr>
          <w:rFonts w:ascii="Times New Roman" w:hAnsi="Times New Roman" w:cs="Times New Roman"/>
          <w:color w:val="222222"/>
          <w:sz w:val="24"/>
          <w:szCs w:val="24"/>
          <w:shd w:val="clear" w:color="auto" w:fill="FFFFFF"/>
        </w:rPr>
        <w:t>, </w:t>
      </w:r>
      <w:r w:rsidRPr="00C16406">
        <w:rPr>
          <w:rFonts w:ascii="Times New Roman" w:hAnsi="Times New Roman" w:cs="Times New Roman"/>
          <w:i/>
          <w:iCs/>
          <w:color w:val="222222"/>
          <w:sz w:val="24"/>
          <w:szCs w:val="24"/>
          <w:shd w:val="clear" w:color="auto" w:fill="FFFFFF"/>
        </w:rPr>
        <w:t>14</w:t>
      </w:r>
      <w:r w:rsidRPr="00C16406">
        <w:rPr>
          <w:rFonts w:ascii="Times New Roman" w:hAnsi="Times New Roman" w:cs="Times New Roman"/>
          <w:color w:val="222222"/>
          <w:sz w:val="24"/>
          <w:szCs w:val="24"/>
          <w:shd w:val="clear" w:color="auto" w:fill="FFFFFF"/>
        </w:rPr>
        <w:t>, 45.</w:t>
      </w:r>
    </w:p>
    <w:p w:rsidR="00980A8C" w:rsidRPr="00C16406" w:rsidRDefault="00980A8C"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980A8C" w:rsidRPr="00C16406" w:rsidRDefault="00980A8C"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980A8C" w:rsidRPr="00C16406" w:rsidRDefault="00980A8C"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980A8C" w:rsidRPr="00C16406" w:rsidRDefault="00980A8C"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980A8C" w:rsidRPr="00C16406" w:rsidRDefault="00980A8C"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980A8C" w:rsidRPr="00C16406" w:rsidRDefault="00980A8C"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EB41B3" w:rsidRPr="00C16406" w:rsidRDefault="00EB41B3"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4B37A4" w:rsidRPr="00C16406" w:rsidRDefault="004B37A4"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4B37A4" w:rsidRPr="00C16406" w:rsidRDefault="004B37A4"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4B37A4" w:rsidRPr="00C16406" w:rsidRDefault="004B37A4" w:rsidP="00C16406">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rsidR="00A36DCB" w:rsidRPr="00C16406" w:rsidRDefault="006E261F" w:rsidP="00C16406">
      <w:pPr>
        <w:shd w:val="clear" w:color="auto" w:fill="FFFFFF"/>
        <w:spacing w:before="100" w:beforeAutospacing="1" w:after="100" w:afterAutospacing="1" w:line="480" w:lineRule="auto"/>
        <w:rPr>
          <w:rFonts w:ascii="Times New Roman" w:hAnsi="Times New Roman" w:cs="Times New Roman"/>
          <w:sz w:val="24"/>
          <w:szCs w:val="24"/>
        </w:rPr>
      </w:pPr>
    </w:p>
    <w:sectPr w:rsidR="00A36DCB" w:rsidRPr="00C16406" w:rsidSect="00C164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61F" w:rsidRDefault="006E261F" w:rsidP="00081BBE">
      <w:pPr>
        <w:spacing w:after="0" w:line="240" w:lineRule="auto"/>
      </w:pPr>
      <w:r>
        <w:separator/>
      </w:r>
    </w:p>
  </w:endnote>
  <w:endnote w:type="continuationSeparator" w:id="0">
    <w:p w:rsidR="006E261F" w:rsidRDefault="006E261F" w:rsidP="00081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61F" w:rsidRDefault="006E261F" w:rsidP="00081BBE">
      <w:pPr>
        <w:spacing w:after="0" w:line="240" w:lineRule="auto"/>
      </w:pPr>
      <w:r>
        <w:separator/>
      </w:r>
    </w:p>
  </w:footnote>
  <w:footnote w:type="continuationSeparator" w:id="0">
    <w:p w:rsidR="006E261F" w:rsidRDefault="006E261F" w:rsidP="00081B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406" w:rsidRPr="00C16406" w:rsidRDefault="00C16406" w:rsidP="00C16406">
    <w:pPr>
      <w:pStyle w:val="Header"/>
      <w:rPr>
        <w:rFonts w:ascii="Times New Roman" w:hAnsi="Times New Roman" w:cs="Times New Roman"/>
        <w:sz w:val="24"/>
        <w:szCs w:val="24"/>
      </w:rPr>
    </w:pPr>
    <w:r w:rsidRPr="00C16406">
      <w:rPr>
        <w:rFonts w:ascii="Times New Roman" w:hAnsi="Times New Roman" w:cs="Times New Roman"/>
        <w:sz w:val="24"/>
        <w:szCs w:val="24"/>
      </w:rPr>
      <w:t>FOREIGN CORRUPT PRACTICES ACT</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16406">
      <w:rPr>
        <w:rFonts w:ascii="Times New Roman" w:hAnsi="Times New Roman" w:cs="Times New Roman"/>
        <w:sz w:val="24"/>
        <w:szCs w:val="24"/>
      </w:rPr>
      <w:t xml:space="preserve"> </w:t>
    </w:r>
    <w:sdt>
      <w:sdtPr>
        <w:rPr>
          <w:rFonts w:ascii="Times New Roman" w:hAnsi="Times New Roman" w:cs="Times New Roman"/>
          <w:sz w:val="24"/>
          <w:szCs w:val="24"/>
        </w:rPr>
        <w:id w:val="361565390"/>
        <w:docPartObj>
          <w:docPartGallery w:val="Page Numbers (Top of Page)"/>
          <w:docPartUnique/>
        </w:docPartObj>
      </w:sdtPr>
      <w:sdtEndPr>
        <w:rPr>
          <w:noProof/>
        </w:rPr>
      </w:sdtEndPr>
      <w:sdtContent>
        <w:r w:rsidRPr="00C16406">
          <w:rPr>
            <w:rFonts w:ascii="Times New Roman" w:hAnsi="Times New Roman" w:cs="Times New Roman"/>
            <w:sz w:val="24"/>
            <w:szCs w:val="24"/>
          </w:rPr>
          <w:fldChar w:fldCharType="begin"/>
        </w:r>
        <w:r w:rsidRPr="00C16406">
          <w:rPr>
            <w:rFonts w:ascii="Times New Roman" w:hAnsi="Times New Roman" w:cs="Times New Roman"/>
            <w:sz w:val="24"/>
            <w:szCs w:val="24"/>
          </w:rPr>
          <w:instrText xml:space="preserve"> PAGE   \* MERGEFORMAT </w:instrText>
        </w:r>
        <w:r w:rsidRPr="00C16406">
          <w:rPr>
            <w:rFonts w:ascii="Times New Roman" w:hAnsi="Times New Roman" w:cs="Times New Roman"/>
            <w:sz w:val="24"/>
            <w:szCs w:val="24"/>
          </w:rPr>
          <w:fldChar w:fldCharType="separate"/>
        </w:r>
        <w:r w:rsidR="0005629F">
          <w:rPr>
            <w:rFonts w:ascii="Times New Roman" w:hAnsi="Times New Roman" w:cs="Times New Roman"/>
            <w:noProof/>
            <w:sz w:val="24"/>
            <w:szCs w:val="24"/>
          </w:rPr>
          <w:t>5</w:t>
        </w:r>
        <w:r w:rsidRPr="00C16406">
          <w:rPr>
            <w:rFonts w:ascii="Times New Roman" w:hAnsi="Times New Roman" w:cs="Times New Roman"/>
            <w:noProof/>
            <w:sz w:val="24"/>
            <w:szCs w:val="24"/>
          </w:rPr>
          <w:fldChar w:fldCharType="end"/>
        </w:r>
      </w:sdtContent>
    </w:sdt>
  </w:p>
  <w:p w:rsidR="00C16406" w:rsidRDefault="00C164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406" w:rsidRPr="00C16406" w:rsidRDefault="00C16406">
    <w:pPr>
      <w:pStyle w:val="Header"/>
      <w:rPr>
        <w:rFonts w:ascii="Times New Roman" w:hAnsi="Times New Roman" w:cs="Times New Roman"/>
        <w:sz w:val="24"/>
        <w:szCs w:val="24"/>
      </w:rPr>
    </w:pPr>
    <w:r w:rsidRPr="00C16406">
      <w:rPr>
        <w:rFonts w:ascii="Times New Roman" w:hAnsi="Times New Roman" w:cs="Times New Roman"/>
        <w:sz w:val="24"/>
        <w:szCs w:val="24"/>
      </w:rPr>
      <w:t>Running Head: FOREIGN CORRUPT PRACTICES ACT</w:t>
    </w:r>
    <w:r>
      <w:rPr>
        <w:rFonts w:ascii="Times New Roman" w:hAnsi="Times New Roman" w:cs="Times New Roman"/>
        <w:sz w:val="24"/>
        <w:szCs w:val="24"/>
      </w:rPr>
      <w:t xml:space="preserve">                                                          </w:t>
    </w:r>
    <w:r w:rsidRPr="00C16406">
      <w:rPr>
        <w:rFonts w:ascii="Times New Roman" w:hAnsi="Times New Roman" w:cs="Times New Roman"/>
        <w:sz w:val="24"/>
        <w:szCs w:val="24"/>
      </w:rPr>
      <w:t xml:space="preserve"> </w:t>
    </w:r>
    <w:sdt>
      <w:sdtPr>
        <w:rPr>
          <w:rFonts w:ascii="Times New Roman" w:hAnsi="Times New Roman" w:cs="Times New Roman"/>
          <w:sz w:val="24"/>
          <w:szCs w:val="24"/>
        </w:rPr>
        <w:id w:val="-1678953109"/>
        <w:docPartObj>
          <w:docPartGallery w:val="Page Numbers (Top of Page)"/>
          <w:docPartUnique/>
        </w:docPartObj>
      </w:sdtPr>
      <w:sdtEndPr>
        <w:rPr>
          <w:noProof/>
        </w:rPr>
      </w:sdtEndPr>
      <w:sdtContent>
        <w:r w:rsidRPr="00C16406">
          <w:rPr>
            <w:rFonts w:ascii="Times New Roman" w:hAnsi="Times New Roman" w:cs="Times New Roman"/>
            <w:sz w:val="24"/>
            <w:szCs w:val="24"/>
          </w:rPr>
          <w:fldChar w:fldCharType="begin"/>
        </w:r>
        <w:r w:rsidRPr="00C16406">
          <w:rPr>
            <w:rFonts w:ascii="Times New Roman" w:hAnsi="Times New Roman" w:cs="Times New Roman"/>
            <w:sz w:val="24"/>
            <w:szCs w:val="24"/>
          </w:rPr>
          <w:instrText xml:space="preserve"> PAGE   \* MERGEFORMAT </w:instrText>
        </w:r>
        <w:r w:rsidRPr="00C16406">
          <w:rPr>
            <w:rFonts w:ascii="Times New Roman" w:hAnsi="Times New Roman" w:cs="Times New Roman"/>
            <w:sz w:val="24"/>
            <w:szCs w:val="24"/>
          </w:rPr>
          <w:fldChar w:fldCharType="separate"/>
        </w:r>
        <w:r w:rsidR="0005629F">
          <w:rPr>
            <w:rFonts w:ascii="Times New Roman" w:hAnsi="Times New Roman" w:cs="Times New Roman"/>
            <w:noProof/>
            <w:sz w:val="24"/>
            <w:szCs w:val="24"/>
          </w:rPr>
          <w:t>1</w:t>
        </w:r>
        <w:r w:rsidRPr="00C16406">
          <w:rPr>
            <w:rFonts w:ascii="Times New Roman" w:hAnsi="Times New Roman" w:cs="Times New Roman"/>
            <w:noProof/>
            <w:sz w:val="24"/>
            <w:szCs w:val="24"/>
          </w:rPr>
          <w:fldChar w:fldCharType="end"/>
        </w:r>
      </w:sdtContent>
    </w:sdt>
  </w:p>
  <w:p w:rsidR="00C16406" w:rsidRDefault="00C164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D410D5"/>
    <w:multiLevelType w:val="multilevel"/>
    <w:tmpl w:val="F3D60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BBE"/>
    <w:rsid w:val="0005629F"/>
    <w:rsid w:val="00081BBE"/>
    <w:rsid w:val="000A68C7"/>
    <w:rsid w:val="004B2E60"/>
    <w:rsid w:val="004B37A4"/>
    <w:rsid w:val="006E261F"/>
    <w:rsid w:val="00980A8C"/>
    <w:rsid w:val="00C16406"/>
    <w:rsid w:val="00C23E4F"/>
    <w:rsid w:val="00C517CD"/>
    <w:rsid w:val="00EB4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7C0237-AE4A-4F15-9835-3C926328C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BBE"/>
  </w:style>
  <w:style w:type="paragraph" w:styleId="Footer">
    <w:name w:val="footer"/>
    <w:basedOn w:val="Normal"/>
    <w:link w:val="FooterChar"/>
    <w:uiPriority w:val="99"/>
    <w:unhideWhenUsed/>
    <w:rsid w:val="00081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BBE"/>
  </w:style>
  <w:style w:type="character" w:styleId="Hyperlink">
    <w:name w:val="Hyperlink"/>
    <w:basedOn w:val="DefaultParagraphFont"/>
    <w:uiPriority w:val="99"/>
    <w:semiHidden/>
    <w:unhideWhenUsed/>
    <w:rsid w:val="00081BBE"/>
    <w:rPr>
      <w:color w:val="0000FF"/>
      <w:u w:val="single"/>
    </w:rPr>
  </w:style>
  <w:style w:type="paragraph" w:styleId="NormalWeb">
    <w:name w:val="Normal (Web)"/>
    <w:basedOn w:val="Normal"/>
    <w:uiPriority w:val="99"/>
    <w:semiHidden/>
    <w:unhideWhenUsed/>
    <w:rsid w:val="004B37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119209">
      <w:bodyDiv w:val="1"/>
      <w:marLeft w:val="0"/>
      <w:marRight w:val="0"/>
      <w:marTop w:val="0"/>
      <w:marBottom w:val="0"/>
      <w:divBdr>
        <w:top w:val="none" w:sz="0" w:space="0" w:color="auto"/>
        <w:left w:val="none" w:sz="0" w:space="0" w:color="auto"/>
        <w:bottom w:val="none" w:sz="0" w:space="0" w:color="auto"/>
        <w:right w:val="none" w:sz="0" w:space="0" w:color="auto"/>
      </w:divBdr>
    </w:div>
    <w:div w:id="1064374778">
      <w:bodyDiv w:val="1"/>
      <w:marLeft w:val="0"/>
      <w:marRight w:val="0"/>
      <w:marTop w:val="0"/>
      <w:marBottom w:val="0"/>
      <w:divBdr>
        <w:top w:val="none" w:sz="0" w:space="0" w:color="auto"/>
        <w:left w:val="none" w:sz="0" w:space="0" w:color="auto"/>
        <w:bottom w:val="none" w:sz="0" w:space="0" w:color="auto"/>
        <w:right w:val="none" w:sz="0" w:space="0" w:color="auto"/>
      </w:divBdr>
    </w:div>
    <w:div w:id="1141310327">
      <w:bodyDiv w:val="1"/>
      <w:marLeft w:val="0"/>
      <w:marRight w:val="0"/>
      <w:marTop w:val="0"/>
      <w:marBottom w:val="0"/>
      <w:divBdr>
        <w:top w:val="none" w:sz="0" w:space="0" w:color="auto"/>
        <w:left w:val="none" w:sz="0" w:space="0" w:color="auto"/>
        <w:bottom w:val="none" w:sz="0" w:space="0" w:color="auto"/>
        <w:right w:val="none" w:sz="0" w:space="0" w:color="auto"/>
      </w:divBdr>
    </w:div>
    <w:div w:id="208321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6</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3</cp:revision>
  <dcterms:created xsi:type="dcterms:W3CDTF">2020-10-05T01:16:00Z</dcterms:created>
  <dcterms:modified xsi:type="dcterms:W3CDTF">2020-10-05T02:35:00Z</dcterms:modified>
</cp:coreProperties>
</file>