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5621" w:rsidRPr="004F596A" w:rsidRDefault="00065621" w:rsidP="00065621">
      <w:pPr>
        <w:rPr>
          <w:rFonts w:ascii="Arial" w:hAnsi="Arial" w:cs="Arial"/>
          <w:b/>
          <w:sz w:val="28"/>
        </w:rPr>
      </w:pPr>
      <w:r>
        <w:rPr>
          <w:rFonts w:ascii="Arial" w:hAnsi="Arial" w:cs="Arial"/>
          <w:b/>
          <w:sz w:val="28"/>
        </w:rPr>
        <w:t xml:space="preserve">Part a </w:t>
      </w:r>
      <w:r>
        <w:rPr>
          <w:rFonts w:ascii="Arial" w:hAnsi="Arial" w:cs="Arial"/>
          <w:b/>
          <w:sz w:val="28"/>
        </w:rPr>
        <w:br/>
      </w:r>
      <w:r w:rsidRPr="00953D01">
        <w:rPr>
          <w:rFonts w:ascii="Arial" w:hAnsi="Arial" w:cs="Arial"/>
          <w:sz w:val="24"/>
        </w:rPr>
        <w:t>The reporting</w:t>
      </w:r>
      <w:r>
        <w:rPr>
          <w:rFonts w:ascii="Arial" w:hAnsi="Arial" w:cs="Arial"/>
          <w:sz w:val="24"/>
        </w:rPr>
        <w:t xml:space="preserve"> date of Sun</w:t>
      </w:r>
      <w:r w:rsidRPr="00953D01">
        <w:rPr>
          <w:rFonts w:ascii="Arial" w:hAnsi="Arial" w:cs="Arial"/>
          <w:sz w:val="24"/>
        </w:rPr>
        <w:t xml:space="preserve"> plc is 31 December.</w:t>
      </w:r>
      <w:r>
        <w:rPr>
          <w:rFonts w:ascii="Arial" w:hAnsi="Arial" w:cs="Arial"/>
          <w:sz w:val="24"/>
        </w:rPr>
        <w:t xml:space="preserve"> Sun plc is embarking on an acquisition strategy and raised the following finance in order to finance a number of acquisitions that it is planning to make. </w:t>
      </w:r>
    </w:p>
    <w:p w:rsidR="00065621" w:rsidRDefault="00065621" w:rsidP="00065621">
      <w:pPr>
        <w:rPr>
          <w:rFonts w:ascii="Arial" w:hAnsi="Arial" w:cs="Arial"/>
          <w:sz w:val="24"/>
        </w:rPr>
      </w:pPr>
      <w:r>
        <w:rPr>
          <w:rFonts w:ascii="Arial" w:hAnsi="Arial" w:cs="Arial"/>
          <w:sz w:val="24"/>
        </w:rPr>
        <w:t>On 1 January 2018 Sun plc issued a 5 year zero coupon bond at par. The proceeds of issue amounted to €11,000,000. Issue costs amounted to €24,000. The bond will be repaid at a premium of €3,000,000 on 31 December 2022. Your assistant believes that no interest should be charged in the statement of profit or loss and other comprehensive income on this is a zero coupon bond, and that the premium on redemption should be regarded as an expense in the year that it is paid. Your assistant also wishes to include the issue costs in the 2018 operating expenses.</w:t>
      </w:r>
    </w:p>
    <w:p w:rsidR="00065621" w:rsidRDefault="00065621" w:rsidP="00065621">
      <w:pPr>
        <w:rPr>
          <w:rFonts w:ascii="Arial" w:hAnsi="Arial" w:cs="Arial"/>
          <w:sz w:val="24"/>
        </w:rPr>
      </w:pPr>
      <w:r>
        <w:rPr>
          <w:rFonts w:ascii="Arial" w:hAnsi="Arial" w:cs="Arial"/>
          <w:sz w:val="24"/>
        </w:rPr>
        <w:t>On 1 January 2018 Sun plc issued 16,000,000 million 7% redeemable preference shares. The nominal value of the preference shares issued is €0.50 per share. The proceeds of issue amounted to €9,000,000.  The issue costs amounted to €105,600. The preference shares are to be redeemed on 1 January 2022 at a premium of €0.125 per share. Your assistant believes that these preference share should be shown be shown under equity as they are part of the company’s share capital, and the finance cost expense should equal the 7% of the proceeds of issue of the preference shares.</w:t>
      </w:r>
    </w:p>
    <w:p w:rsidR="00065621" w:rsidRPr="00F819AE" w:rsidRDefault="00065621" w:rsidP="00065621">
      <w:pPr>
        <w:rPr>
          <w:rFonts w:ascii="Arial" w:hAnsi="Arial" w:cs="Arial"/>
          <w:b/>
          <w:sz w:val="28"/>
        </w:rPr>
      </w:pPr>
      <w:r w:rsidRPr="00A41903">
        <w:rPr>
          <w:rFonts w:ascii="Arial" w:hAnsi="Arial" w:cs="Arial"/>
          <w:b/>
          <w:sz w:val="28"/>
        </w:rPr>
        <w:t>Requirement</w:t>
      </w:r>
      <w:r>
        <w:rPr>
          <w:rFonts w:ascii="Arial" w:hAnsi="Arial" w:cs="Arial"/>
          <w:b/>
          <w:sz w:val="28"/>
        </w:rPr>
        <w:br/>
      </w:r>
      <w:r>
        <w:rPr>
          <w:rFonts w:ascii="Arial" w:hAnsi="Arial" w:cs="Arial"/>
          <w:sz w:val="24"/>
        </w:rPr>
        <w:t>a. Draft a reply to your assistant addressing his suggestions for the treatment for the zero coupon bond, and the 7% redeemable preference shares.</w:t>
      </w:r>
      <w:r>
        <w:rPr>
          <w:rFonts w:ascii="Arial" w:hAnsi="Arial" w:cs="Arial"/>
          <w:sz w:val="24"/>
        </w:rPr>
        <w:br/>
      </w:r>
      <w:r w:rsidRPr="00827844">
        <w:rPr>
          <w:rFonts w:ascii="Arial" w:hAnsi="Arial" w:cs="Arial"/>
          <w:b/>
          <w:sz w:val="24"/>
        </w:rPr>
        <w:t xml:space="preserve">                                                                                                        6 marks</w:t>
      </w:r>
      <w:r w:rsidRPr="00827844">
        <w:rPr>
          <w:rFonts w:ascii="Arial" w:hAnsi="Arial" w:cs="Arial"/>
          <w:b/>
          <w:sz w:val="24"/>
        </w:rPr>
        <w:br/>
      </w:r>
      <w:r>
        <w:rPr>
          <w:rFonts w:ascii="Arial" w:hAnsi="Arial" w:cs="Arial"/>
          <w:sz w:val="24"/>
        </w:rPr>
        <w:t>b Show the ledger accounts in the books of Sun plc for the zero coupon bond and the 7% redeemable preference shares for the year ended 31 December 2018.</w:t>
      </w:r>
    </w:p>
    <w:p w:rsidR="00065621" w:rsidRPr="00827844" w:rsidRDefault="00065621" w:rsidP="00065621">
      <w:pPr>
        <w:rPr>
          <w:rFonts w:ascii="Arial" w:hAnsi="Arial" w:cs="Arial"/>
          <w:b/>
          <w:sz w:val="24"/>
        </w:rPr>
      </w:pPr>
      <w:r>
        <w:rPr>
          <w:rFonts w:ascii="Arial" w:hAnsi="Arial" w:cs="Arial"/>
          <w:sz w:val="24"/>
        </w:rPr>
        <w:t xml:space="preserve">                                                                                                        </w:t>
      </w:r>
      <w:r w:rsidRPr="00827844">
        <w:rPr>
          <w:rFonts w:ascii="Arial" w:hAnsi="Arial" w:cs="Arial"/>
          <w:b/>
          <w:sz w:val="24"/>
        </w:rPr>
        <w:t>8 marks</w:t>
      </w:r>
    </w:p>
    <w:p w:rsidR="00065621" w:rsidRDefault="00065621" w:rsidP="00065621">
      <w:pPr>
        <w:rPr>
          <w:rFonts w:ascii="Arial" w:hAnsi="Arial" w:cs="Arial"/>
          <w:sz w:val="24"/>
        </w:rPr>
      </w:pPr>
    </w:p>
    <w:tbl>
      <w:tblPr>
        <w:tblW w:w="8696" w:type="dxa"/>
        <w:tblLook w:val="04A0" w:firstRow="1" w:lastRow="0" w:firstColumn="1" w:lastColumn="0" w:noHBand="0" w:noVBand="1"/>
      </w:tblPr>
      <w:tblGrid>
        <w:gridCol w:w="737"/>
        <w:gridCol w:w="1117"/>
        <w:gridCol w:w="1117"/>
        <w:gridCol w:w="1117"/>
        <w:gridCol w:w="520"/>
        <w:gridCol w:w="737"/>
        <w:gridCol w:w="1117"/>
        <w:gridCol w:w="1117"/>
        <w:gridCol w:w="1117"/>
      </w:tblGrid>
      <w:tr w:rsidR="00065621" w:rsidRPr="004425B9" w:rsidTr="00314EE9">
        <w:trPr>
          <w:trHeight w:val="300"/>
        </w:trPr>
        <w:tc>
          <w:tcPr>
            <w:tcW w:w="4088" w:type="dxa"/>
            <w:gridSpan w:val="4"/>
            <w:tcBorders>
              <w:top w:val="single" w:sz="8" w:space="0" w:color="auto"/>
              <w:left w:val="single" w:sz="8" w:space="0" w:color="auto"/>
              <w:bottom w:val="nil"/>
              <w:right w:val="single" w:sz="8" w:space="0" w:color="000000"/>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 xml:space="preserve">              Present value Table</w:t>
            </w:r>
          </w:p>
        </w:tc>
        <w:tc>
          <w:tcPr>
            <w:tcW w:w="520"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 </w:t>
            </w:r>
          </w:p>
        </w:tc>
        <w:tc>
          <w:tcPr>
            <w:tcW w:w="4088" w:type="dxa"/>
            <w:gridSpan w:val="4"/>
            <w:tcBorders>
              <w:top w:val="single" w:sz="8" w:space="0" w:color="auto"/>
              <w:left w:val="single" w:sz="8" w:space="0" w:color="auto"/>
              <w:bottom w:val="nil"/>
              <w:right w:val="single" w:sz="8" w:space="0" w:color="000000"/>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 xml:space="preserve">                     Annuity Table</w:t>
            </w:r>
          </w:p>
        </w:tc>
      </w:tr>
      <w:tr w:rsidR="00065621" w:rsidRPr="004425B9" w:rsidTr="00314EE9">
        <w:trPr>
          <w:trHeight w:val="780"/>
        </w:trPr>
        <w:tc>
          <w:tcPr>
            <w:tcW w:w="737" w:type="dxa"/>
            <w:tcBorders>
              <w:top w:val="nil"/>
              <w:left w:val="single" w:sz="8" w:space="0" w:color="auto"/>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Year</w:t>
            </w:r>
          </w:p>
        </w:tc>
        <w:tc>
          <w:tcPr>
            <w:tcW w:w="1117" w:type="dxa"/>
            <w:tcBorders>
              <w:top w:val="nil"/>
              <w:left w:val="nil"/>
              <w:bottom w:val="nil"/>
              <w:right w:val="nil"/>
            </w:tcBorders>
            <w:shd w:val="clear" w:color="auto" w:fill="auto"/>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Present value factor@</w:t>
            </w:r>
          </w:p>
        </w:tc>
        <w:tc>
          <w:tcPr>
            <w:tcW w:w="1117" w:type="dxa"/>
            <w:tcBorders>
              <w:top w:val="nil"/>
              <w:left w:val="nil"/>
              <w:bottom w:val="nil"/>
              <w:right w:val="nil"/>
            </w:tcBorders>
            <w:shd w:val="clear" w:color="auto" w:fill="auto"/>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Present value factor@</w:t>
            </w:r>
          </w:p>
        </w:tc>
        <w:tc>
          <w:tcPr>
            <w:tcW w:w="1117" w:type="dxa"/>
            <w:tcBorders>
              <w:top w:val="nil"/>
              <w:left w:val="nil"/>
              <w:bottom w:val="nil"/>
              <w:right w:val="single" w:sz="8" w:space="0" w:color="auto"/>
            </w:tcBorders>
            <w:shd w:val="clear" w:color="auto" w:fill="auto"/>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Present value factor@</w:t>
            </w:r>
          </w:p>
        </w:tc>
        <w:tc>
          <w:tcPr>
            <w:tcW w:w="520"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 </w:t>
            </w:r>
          </w:p>
        </w:tc>
        <w:tc>
          <w:tcPr>
            <w:tcW w:w="737" w:type="dxa"/>
            <w:tcBorders>
              <w:top w:val="nil"/>
              <w:left w:val="single" w:sz="8" w:space="0" w:color="auto"/>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Year</w:t>
            </w:r>
          </w:p>
        </w:tc>
        <w:tc>
          <w:tcPr>
            <w:tcW w:w="1117" w:type="dxa"/>
            <w:tcBorders>
              <w:top w:val="nil"/>
              <w:left w:val="nil"/>
              <w:bottom w:val="nil"/>
              <w:right w:val="nil"/>
            </w:tcBorders>
            <w:shd w:val="clear" w:color="auto" w:fill="auto"/>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Annuity factor@</w:t>
            </w:r>
          </w:p>
        </w:tc>
        <w:tc>
          <w:tcPr>
            <w:tcW w:w="1117" w:type="dxa"/>
            <w:tcBorders>
              <w:top w:val="nil"/>
              <w:left w:val="nil"/>
              <w:bottom w:val="nil"/>
              <w:right w:val="nil"/>
            </w:tcBorders>
            <w:shd w:val="clear" w:color="auto" w:fill="auto"/>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Annuity factor@</w:t>
            </w:r>
          </w:p>
        </w:tc>
        <w:tc>
          <w:tcPr>
            <w:tcW w:w="1117" w:type="dxa"/>
            <w:tcBorders>
              <w:top w:val="nil"/>
              <w:left w:val="nil"/>
              <w:bottom w:val="nil"/>
              <w:right w:val="single" w:sz="8" w:space="0" w:color="auto"/>
            </w:tcBorders>
            <w:shd w:val="clear" w:color="auto" w:fill="auto"/>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Annuity factor@</w:t>
            </w:r>
          </w:p>
        </w:tc>
      </w:tr>
      <w:tr w:rsidR="00065621" w:rsidRPr="004425B9" w:rsidTr="00314EE9">
        <w:trPr>
          <w:trHeight w:val="300"/>
        </w:trPr>
        <w:tc>
          <w:tcPr>
            <w:tcW w:w="737" w:type="dxa"/>
            <w:tcBorders>
              <w:top w:val="nil"/>
              <w:left w:val="single" w:sz="8" w:space="0" w:color="auto"/>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 </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5%</w:t>
            </w:r>
          </w:p>
        </w:tc>
        <w:tc>
          <w:tcPr>
            <w:tcW w:w="1117" w:type="dxa"/>
            <w:tcBorders>
              <w:top w:val="nil"/>
              <w:left w:val="nil"/>
              <w:bottom w:val="nil"/>
              <w:right w:val="nil"/>
            </w:tcBorders>
            <w:shd w:val="clear" w:color="auto" w:fill="auto"/>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9%</w:t>
            </w:r>
          </w:p>
        </w:tc>
        <w:tc>
          <w:tcPr>
            <w:tcW w:w="1117" w:type="dxa"/>
            <w:tcBorders>
              <w:top w:val="nil"/>
              <w:left w:val="nil"/>
              <w:bottom w:val="nil"/>
              <w:right w:val="single" w:sz="8" w:space="0" w:color="auto"/>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b/>
                <w:bCs/>
                <w:color w:val="000000"/>
                <w:sz w:val="24"/>
                <w:szCs w:val="24"/>
                <w:lang w:eastAsia="en-IE"/>
              </w:rPr>
            </w:pPr>
            <w:r w:rsidRPr="004425B9">
              <w:rPr>
                <w:rFonts w:ascii="Arial" w:eastAsia="Times New Roman" w:hAnsi="Arial" w:cs="Arial"/>
                <w:b/>
                <w:bCs/>
                <w:color w:val="000000"/>
                <w:sz w:val="24"/>
                <w:szCs w:val="24"/>
                <w:lang w:eastAsia="en-IE"/>
              </w:rPr>
              <w:t>10%</w:t>
            </w:r>
          </w:p>
        </w:tc>
        <w:tc>
          <w:tcPr>
            <w:tcW w:w="520"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 </w:t>
            </w:r>
          </w:p>
        </w:tc>
        <w:tc>
          <w:tcPr>
            <w:tcW w:w="737" w:type="dxa"/>
            <w:tcBorders>
              <w:top w:val="nil"/>
              <w:left w:val="single" w:sz="8" w:space="0" w:color="auto"/>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 </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5%</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b/>
                <w:bCs/>
                <w:sz w:val="24"/>
                <w:szCs w:val="24"/>
                <w:lang w:eastAsia="en-IE"/>
              </w:rPr>
            </w:pPr>
            <w:r w:rsidRPr="004425B9">
              <w:rPr>
                <w:rFonts w:ascii="Arial" w:eastAsia="Times New Roman" w:hAnsi="Arial" w:cs="Arial"/>
                <w:b/>
                <w:bCs/>
                <w:sz w:val="24"/>
                <w:szCs w:val="24"/>
                <w:lang w:eastAsia="en-IE"/>
              </w:rPr>
              <w:t>9%</w:t>
            </w:r>
          </w:p>
        </w:tc>
        <w:tc>
          <w:tcPr>
            <w:tcW w:w="1117" w:type="dxa"/>
            <w:tcBorders>
              <w:top w:val="nil"/>
              <w:left w:val="nil"/>
              <w:bottom w:val="nil"/>
              <w:right w:val="single" w:sz="8" w:space="0" w:color="auto"/>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b/>
                <w:bCs/>
                <w:color w:val="000000"/>
                <w:sz w:val="24"/>
                <w:szCs w:val="24"/>
                <w:lang w:eastAsia="en-IE"/>
              </w:rPr>
            </w:pPr>
            <w:r w:rsidRPr="004425B9">
              <w:rPr>
                <w:rFonts w:ascii="Arial" w:eastAsia="Times New Roman" w:hAnsi="Arial" w:cs="Arial"/>
                <w:b/>
                <w:bCs/>
                <w:color w:val="000000"/>
                <w:sz w:val="24"/>
                <w:szCs w:val="24"/>
                <w:lang w:eastAsia="en-IE"/>
              </w:rPr>
              <w:t>10%</w:t>
            </w:r>
          </w:p>
        </w:tc>
      </w:tr>
      <w:tr w:rsidR="00065621" w:rsidRPr="004425B9" w:rsidTr="00314EE9">
        <w:trPr>
          <w:trHeight w:val="300"/>
        </w:trPr>
        <w:tc>
          <w:tcPr>
            <w:tcW w:w="737" w:type="dxa"/>
            <w:tcBorders>
              <w:top w:val="nil"/>
              <w:left w:val="single" w:sz="8" w:space="0" w:color="auto"/>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1</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0.952</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0.917</w:t>
            </w:r>
          </w:p>
        </w:tc>
        <w:tc>
          <w:tcPr>
            <w:tcW w:w="1117" w:type="dxa"/>
            <w:tcBorders>
              <w:top w:val="nil"/>
              <w:left w:val="nil"/>
              <w:bottom w:val="nil"/>
              <w:right w:val="single" w:sz="8" w:space="0" w:color="auto"/>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0.909</w:t>
            </w:r>
          </w:p>
        </w:tc>
        <w:tc>
          <w:tcPr>
            <w:tcW w:w="520"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 </w:t>
            </w:r>
          </w:p>
        </w:tc>
        <w:tc>
          <w:tcPr>
            <w:tcW w:w="737" w:type="dxa"/>
            <w:tcBorders>
              <w:top w:val="nil"/>
              <w:left w:val="single" w:sz="8" w:space="0" w:color="auto"/>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1</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0.952</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0.917</w:t>
            </w:r>
          </w:p>
        </w:tc>
        <w:tc>
          <w:tcPr>
            <w:tcW w:w="1117" w:type="dxa"/>
            <w:tcBorders>
              <w:top w:val="nil"/>
              <w:left w:val="nil"/>
              <w:bottom w:val="nil"/>
              <w:right w:val="single" w:sz="8" w:space="0" w:color="auto"/>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0.909</w:t>
            </w:r>
          </w:p>
        </w:tc>
      </w:tr>
      <w:tr w:rsidR="00065621" w:rsidRPr="004425B9" w:rsidTr="00314EE9">
        <w:trPr>
          <w:trHeight w:val="300"/>
        </w:trPr>
        <w:tc>
          <w:tcPr>
            <w:tcW w:w="737" w:type="dxa"/>
            <w:tcBorders>
              <w:top w:val="nil"/>
              <w:left w:val="single" w:sz="8" w:space="0" w:color="auto"/>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2</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0.907</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0.842</w:t>
            </w:r>
          </w:p>
        </w:tc>
        <w:tc>
          <w:tcPr>
            <w:tcW w:w="1117" w:type="dxa"/>
            <w:tcBorders>
              <w:top w:val="nil"/>
              <w:left w:val="nil"/>
              <w:bottom w:val="nil"/>
              <w:right w:val="single" w:sz="8" w:space="0" w:color="auto"/>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0.826</w:t>
            </w:r>
          </w:p>
        </w:tc>
        <w:tc>
          <w:tcPr>
            <w:tcW w:w="520"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 </w:t>
            </w:r>
          </w:p>
        </w:tc>
        <w:tc>
          <w:tcPr>
            <w:tcW w:w="737" w:type="dxa"/>
            <w:tcBorders>
              <w:top w:val="nil"/>
              <w:left w:val="single" w:sz="8" w:space="0" w:color="auto"/>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2</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1.859</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1.759</w:t>
            </w:r>
          </w:p>
        </w:tc>
        <w:tc>
          <w:tcPr>
            <w:tcW w:w="1117" w:type="dxa"/>
            <w:tcBorders>
              <w:top w:val="nil"/>
              <w:left w:val="nil"/>
              <w:bottom w:val="nil"/>
              <w:right w:val="single" w:sz="8" w:space="0" w:color="auto"/>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1.736</w:t>
            </w:r>
          </w:p>
        </w:tc>
      </w:tr>
      <w:tr w:rsidR="00065621" w:rsidRPr="004425B9" w:rsidTr="00314EE9">
        <w:trPr>
          <w:trHeight w:val="300"/>
        </w:trPr>
        <w:tc>
          <w:tcPr>
            <w:tcW w:w="737" w:type="dxa"/>
            <w:tcBorders>
              <w:top w:val="nil"/>
              <w:left w:val="single" w:sz="8" w:space="0" w:color="auto"/>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3</w:t>
            </w:r>
          </w:p>
        </w:tc>
        <w:tc>
          <w:tcPr>
            <w:tcW w:w="1117" w:type="dxa"/>
            <w:tcBorders>
              <w:top w:val="nil"/>
              <w:left w:val="nil"/>
              <w:bottom w:val="nil"/>
              <w:right w:val="nil"/>
            </w:tcBorders>
            <w:shd w:val="clear" w:color="auto" w:fill="auto"/>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0.864</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0.772</w:t>
            </w:r>
          </w:p>
        </w:tc>
        <w:tc>
          <w:tcPr>
            <w:tcW w:w="1117" w:type="dxa"/>
            <w:tcBorders>
              <w:top w:val="nil"/>
              <w:left w:val="nil"/>
              <w:bottom w:val="nil"/>
              <w:right w:val="single" w:sz="8" w:space="0" w:color="auto"/>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0.751</w:t>
            </w:r>
          </w:p>
        </w:tc>
        <w:tc>
          <w:tcPr>
            <w:tcW w:w="520"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 </w:t>
            </w:r>
          </w:p>
        </w:tc>
        <w:tc>
          <w:tcPr>
            <w:tcW w:w="737" w:type="dxa"/>
            <w:tcBorders>
              <w:top w:val="nil"/>
              <w:left w:val="single" w:sz="8" w:space="0" w:color="auto"/>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3</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2.723</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2.531</w:t>
            </w:r>
          </w:p>
        </w:tc>
        <w:tc>
          <w:tcPr>
            <w:tcW w:w="1117" w:type="dxa"/>
            <w:tcBorders>
              <w:top w:val="nil"/>
              <w:left w:val="nil"/>
              <w:bottom w:val="nil"/>
              <w:right w:val="single" w:sz="8" w:space="0" w:color="auto"/>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2.487</w:t>
            </w:r>
          </w:p>
        </w:tc>
      </w:tr>
      <w:tr w:rsidR="00065621" w:rsidRPr="004425B9" w:rsidTr="00314EE9">
        <w:trPr>
          <w:trHeight w:val="300"/>
        </w:trPr>
        <w:tc>
          <w:tcPr>
            <w:tcW w:w="737" w:type="dxa"/>
            <w:tcBorders>
              <w:top w:val="nil"/>
              <w:left w:val="single" w:sz="8" w:space="0" w:color="auto"/>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4</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0.823</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0.708</w:t>
            </w:r>
          </w:p>
        </w:tc>
        <w:tc>
          <w:tcPr>
            <w:tcW w:w="1117" w:type="dxa"/>
            <w:tcBorders>
              <w:top w:val="nil"/>
              <w:left w:val="nil"/>
              <w:bottom w:val="nil"/>
              <w:right w:val="single" w:sz="8" w:space="0" w:color="auto"/>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0.683</w:t>
            </w:r>
          </w:p>
        </w:tc>
        <w:tc>
          <w:tcPr>
            <w:tcW w:w="520"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 </w:t>
            </w:r>
          </w:p>
        </w:tc>
        <w:tc>
          <w:tcPr>
            <w:tcW w:w="737" w:type="dxa"/>
            <w:tcBorders>
              <w:top w:val="nil"/>
              <w:left w:val="single" w:sz="8" w:space="0" w:color="auto"/>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4</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3.546</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3.240</w:t>
            </w:r>
          </w:p>
        </w:tc>
        <w:tc>
          <w:tcPr>
            <w:tcW w:w="1117" w:type="dxa"/>
            <w:tcBorders>
              <w:top w:val="nil"/>
              <w:left w:val="nil"/>
              <w:bottom w:val="nil"/>
              <w:right w:val="single" w:sz="8" w:space="0" w:color="auto"/>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3.17</w:t>
            </w:r>
          </w:p>
        </w:tc>
      </w:tr>
      <w:tr w:rsidR="00065621" w:rsidRPr="004425B9" w:rsidTr="00314EE9">
        <w:trPr>
          <w:trHeight w:val="300"/>
        </w:trPr>
        <w:tc>
          <w:tcPr>
            <w:tcW w:w="737" w:type="dxa"/>
            <w:tcBorders>
              <w:top w:val="nil"/>
              <w:left w:val="single" w:sz="8" w:space="0" w:color="auto"/>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5</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0.784</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0.650</w:t>
            </w:r>
          </w:p>
        </w:tc>
        <w:tc>
          <w:tcPr>
            <w:tcW w:w="1117" w:type="dxa"/>
            <w:tcBorders>
              <w:top w:val="nil"/>
              <w:left w:val="nil"/>
              <w:bottom w:val="nil"/>
              <w:right w:val="single" w:sz="8" w:space="0" w:color="auto"/>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0.621</w:t>
            </w:r>
          </w:p>
        </w:tc>
        <w:tc>
          <w:tcPr>
            <w:tcW w:w="520"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 </w:t>
            </w:r>
          </w:p>
        </w:tc>
        <w:tc>
          <w:tcPr>
            <w:tcW w:w="737" w:type="dxa"/>
            <w:tcBorders>
              <w:top w:val="nil"/>
              <w:left w:val="single" w:sz="8" w:space="0" w:color="auto"/>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5</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4.329</w:t>
            </w:r>
          </w:p>
        </w:tc>
        <w:tc>
          <w:tcPr>
            <w:tcW w:w="1117"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3.890</w:t>
            </w:r>
          </w:p>
        </w:tc>
        <w:tc>
          <w:tcPr>
            <w:tcW w:w="1117" w:type="dxa"/>
            <w:tcBorders>
              <w:top w:val="nil"/>
              <w:left w:val="nil"/>
              <w:bottom w:val="nil"/>
              <w:right w:val="single" w:sz="8" w:space="0" w:color="auto"/>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3.791</w:t>
            </w:r>
          </w:p>
        </w:tc>
      </w:tr>
      <w:tr w:rsidR="00065621" w:rsidRPr="004425B9" w:rsidTr="00314EE9">
        <w:trPr>
          <w:trHeight w:val="315"/>
        </w:trPr>
        <w:tc>
          <w:tcPr>
            <w:tcW w:w="737" w:type="dxa"/>
            <w:tcBorders>
              <w:top w:val="nil"/>
              <w:left w:val="single" w:sz="8" w:space="0" w:color="auto"/>
              <w:bottom w:val="single" w:sz="8" w:space="0" w:color="auto"/>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6</w:t>
            </w:r>
          </w:p>
        </w:tc>
        <w:tc>
          <w:tcPr>
            <w:tcW w:w="1117" w:type="dxa"/>
            <w:tcBorders>
              <w:top w:val="nil"/>
              <w:left w:val="nil"/>
              <w:bottom w:val="single" w:sz="8" w:space="0" w:color="auto"/>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0.746</w:t>
            </w:r>
          </w:p>
        </w:tc>
        <w:tc>
          <w:tcPr>
            <w:tcW w:w="1117" w:type="dxa"/>
            <w:tcBorders>
              <w:top w:val="nil"/>
              <w:left w:val="nil"/>
              <w:bottom w:val="single" w:sz="8" w:space="0" w:color="auto"/>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0.596</w:t>
            </w:r>
          </w:p>
        </w:tc>
        <w:tc>
          <w:tcPr>
            <w:tcW w:w="1117" w:type="dxa"/>
            <w:tcBorders>
              <w:top w:val="nil"/>
              <w:left w:val="nil"/>
              <w:bottom w:val="single" w:sz="8" w:space="0" w:color="auto"/>
              <w:right w:val="single" w:sz="8" w:space="0" w:color="auto"/>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0.564</w:t>
            </w:r>
          </w:p>
        </w:tc>
        <w:tc>
          <w:tcPr>
            <w:tcW w:w="520" w:type="dxa"/>
            <w:tcBorders>
              <w:top w:val="nil"/>
              <w:left w:val="nil"/>
              <w:bottom w:val="nil"/>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 </w:t>
            </w:r>
          </w:p>
        </w:tc>
        <w:tc>
          <w:tcPr>
            <w:tcW w:w="737" w:type="dxa"/>
            <w:tcBorders>
              <w:top w:val="nil"/>
              <w:left w:val="single" w:sz="8" w:space="0" w:color="auto"/>
              <w:bottom w:val="single" w:sz="8" w:space="0" w:color="auto"/>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6</w:t>
            </w:r>
          </w:p>
        </w:tc>
        <w:tc>
          <w:tcPr>
            <w:tcW w:w="1117" w:type="dxa"/>
            <w:tcBorders>
              <w:top w:val="nil"/>
              <w:left w:val="nil"/>
              <w:bottom w:val="single" w:sz="8" w:space="0" w:color="auto"/>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5.076</w:t>
            </w:r>
          </w:p>
        </w:tc>
        <w:tc>
          <w:tcPr>
            <w:tcW w:w="1117" w:type="dxa"/>
            <w:tcBorders>
              <w:top w:val="nil"/>
              <w:left w:val="nil"/>
              <w:bottom w:val="single" w:sz="8" w:space="0" w:color="auto"/>
              <w:right w:val="nil"/>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4.486</w:t>
            </w:r>
          </w:p>
        </w:tc>
        <w:tc>
          <w:tcPr>
            <w:tcW w:w="1117" w:type="dxa"/>
            <w:tcBorders>
              <w:top w:val="nil"/>
              <w:left w:val="nil"/>
              <w:bottom w:val="single" w:sz="8" w:space="0" w:color="auto"/>
              <w:right w:val="single" w:sz="8" w:space="0" w:color="auto"/>
            </w:tcBorders>
            <w:shd w:val="clear" w:color="auto" w:fill="auto"/>
            <w:noWrap/>
            <w:vAlign w:val="bottom"/>
            <w:hideMark/>
          </w:tcPr>
          <w:p w:rsidR="00065621" w:rsidRPr="004425B9" w:rsidRDefault="00065621" w:rsidP="00314EE9">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right"/>
              <w:rPr>
                <w:rFonts w:ascii="Arial" w:eastAsia="Times New Roman" w:hAnsi="Arial" w:cs="Arial"/>
                <w:color w:val="000000"/>
                <w:sz w:val="24"/>
                <w:szCs w:val="24"/>
                <w:lang w:eastAsia="en-IE"/>
              </w:rPr>
            </w:pPr>
            <w:r w:rsidRPr="004425B9">
              <w:rPr>
                <w:rFonts w:ascii="Arial" w:eastAsia="Times New Roman" w:hAnsi="Arial" w:cs="Arial"/>
                <w:color w:val="000000"/>
                <w:sz w:val="24"/>
                <w:szCs w:val="24"/>
                <w:lang w:eastAsia="en-IE"/>
              </w:rPr>
              <w:t>4.355</w:t>
            </w:r>
          </w:p>
        </w:tc>
      </w:tr>
    </w:tbl>
    <w:p w:rsidR="00065621" w:rsidRPr="004F596A" w:rsidRDefault="00065621" w:rsidP="00065621">
      <w:pPr>
        <w:rPr>
          <w:rFonts w:ascii="Arial" w:hAnsi="Arial" w:cs="Arial"/>
          <w:b/>
          <w:sz w:val="28"/>
        </w:rPr>
      </w:pPr>
      <w:r w:rsidRPr="004425B9">
        <w:rPr>
          <w:rFonts w:ascii="Arial" w:hAnsi="Arial" w:cs="Arial"/>
          <w:b/>
          <w:sz w:val="24"/>
          <w:szCs w:val="24"/>
        </w:rPr>
        <w:t>Part b</w:t>
      </w:r>
      <w:r w:rsidRPr="004425B9">
        <w:rPr>
          <w:rFonts w:ascii="Arial" w:hAnsi="Arial" w:cs="Arial"/>
          <w:b/>
          <w:sz w:val="24"/>
          <w:szCs w:val="24"/>
        </w:rPr>
        <w:br/>
      </w:r>
      <w:r>
        <w:rPr>
          <w:rFonts w:ascii="Arial" w:hAnsi="Arial" w:cs="Arial"/>
          <w:sz w:val="24"/>
        </w:rPr>
        <w:t>Sky plc whose reporting date is also 31 December sold some non-current assets during 2017 and invested the proceeds of sale in 2018 in the following investments.</w:t>
      </w:r>
    </w:p>
    <w:p w:rsidR="00065621" w:rsidRDefault="00065621" w:rsidP="00065621">
      <w:pPr>
        <w:rPr>
          <w:rFonts w:ascii="Arial" w:hAnsi="Arial" w:cs="Arial"/>
          <w:sz w:val="24"/>
        </w:rPr>
      </w:pPr>
      <w:r>
        <w:rPr>
          <w:rFonts w:ascii="Arial" w:hAnsi="Arial" w:cs="Arial"/>
          <w:sz w:val="24"/>
        </w:rPr>
        <w:lastRenderedPageBreak/>
        <w:t>On 1 January 2018 Sky plc purchased €4,000,000 corporate bonds issued by Stars plc. The bonds were issued by Stars plc at par and will be redeemed at par on 1 January 2024. T</w:t>
      </w:r>
      <w:bookmarkStart w:id="0" w:name="_GoBack"/>
      <w:bookmarkEnd w:id="0"/>
      <w:r>
        <w:rPr>
          <w:rFonts w:ascii="Arial" w:hAnsi="Arial" w:cs="Arial"/>
          <w:sz w:val="24"/>
        </w:rPr>
        <w:t xml:space="preserve">he bonds issued by Stars plc pay interest at 6.5% per </w:t>
      </w:r>
      <w:proofErr w:type="spellStart"/>
      <w:r>
        <w:rPr>
          <w:rFonts w:ascii="Arial" w:hAnsi="Arial" w:cs="Arial"/>
          <w:sz w:val="24"/>
        </w:rPr>
        <w:t>annumn</w:t>
      </w:r>
      <w:proofErr w:type="spellEnd"/>
      <w:r>
        <w:rPr>
          <w:rFonts w:ascii="Arial" w:hAnsi="Arial" w:cs="Arial"/>
          <w:sz w:val="24"/>
        </w:rPr>
        <w:t xml:space="preserve"> on 31 December each year.  The effective interest on these bonds is 7%. It is the intention of Sky plc to hold these bonds to maturity and to collect the contractual cash flows of interest and principal on these bonds. The fair value of these bonds at 31 December 2018 was €4,100,000.</w:t>
      </w:r>
    </w:p>
    <w:p w:rsidR="00065621" w:rsidRDefault="00065621" w:rsidP="00065621">
      <w:pPr>
        <w:rPr>
          <w:rFonts w:ascii="Arial" w:hAnsi="Arial" w:cs="Arial"/>
          <w:sz w:val="24"/>
        </w:rPr>
      </w:pPr>
      <w:r>
        <w:rPr>
          <w:rFonts w:ascii="Arial" w:hAnsi="Arial" w:cs="Arial"/>
          <w:sz w:val="24"/>
        </w:rPr>
        <w:t>On 1 January 2018 Sky plc purchased corporate bonds in Mars plc for €5,000,000 The nominal value of these bonds was also €5,000,000. The coupon interest rate in these bonds was 7%. Interest is paid by Mars plc on 31 December each year.  The effective rate of interest on these bonds is also 7%. Sky plc expects the fair value of the bonds in Mars plc to rise, and it plans to sell these bonds when they make further fair value gains. The fair value of these bonds at 31 December 2018 was €5,250,000.</w:t>
      </w:r>
    </w:p>
    <w:p w:rsidR="00065621" w:rsidRDefault="00065621" w:rsidP="00065621">
      <w:pPr>
        <w:rPr>
          <w:rFonts w:ascii="Arial" w:hAnsi="Arial" w:cs="Arial"/>
          <w:sz w:val="24"/>
        </w:rPr>
      </w:pPr>
      <w:r>
        <w:rPr>
          <w:rFonts w:ascii="Arial" w:hAnsi="Arial" w:cs="Arial"/>
          <w:sz w:val="24"/>
        </w:rPr>
        <w:t xml:space="preserve">The corporate bonds held by Sky plc in Stars plc and Mars plc are not </w:t>
      </w:r>
      <w:proofErr w:type="spellStart"/>
      <w:r>
        <w:rPr>
          <w:rFonts w:ascii="Arial" w:hAnsi="Arial" w:cs="Arial"/>
          <w:sz w:val="24"/>
        </w:rPr>
        <w:t>hedged.The</w:t>
      </w:r>
      <w:proofErr w:type="spellEnd"/>
      <w:r>
        <w:rPr>
          <w:rFonts w:ascii="Arial" w:hAnsi="Arial" w:cs="Arial"/>
          <w:sz w:val="24"/>
        </w:rPr>
        <w:t xml:space="preserve"> directors of Sky plc have suggested that the investments in corporate bonds in both Stars plc and Mars plc should be treated in exactly the same manner in the financial statements of Sky plc for the year ended 31 December 2018.</w:t>
      </w:r>
    </w:p>
    <w:p w:rsidR="00065621" w:rsidRPr="004F596A" w:rsidRDefault="00065621" w:rsidP="00065621">
      <w:pPr>
        <w:rPr>
          <w:rFonts w:ascii="Arial" w:hAnsi="Arial" w:cs="Arial"/>
          <w:b/>
          <w:sz w:val="28"/>
        </w:rPr>
      </w:pPr>
      <w:r w:rsidRPr="004F596A">
        <w:rPr>
          <w:rFonts w:ascii="Arial" w:hAnsi="Arial" w:cs="Arial"/>
          <w:b/>
          <w:sz w:val="28"/>
        </w:rPr>
        <w:t>Requirement</w:t>
      </w:r>
    </w:p>
    <w:p w:rsidR="00065621" w:rsidRDefault="00065621" w:rsidP="00065621">
      <w:pPr>
        <w:rPr>
          <w:rFonts w:ascii="Arial" w:hAnsi="Arial" w:cs="Arial"/>
          <w:sz w:val="24"/>
        </w:rPr>
      </w:pPr>
      <w:r>
        <w:rPr>
          <w:rFonts w:ascii="Arial" w:hAnsi="Arial" w:cs="Arial"/>
          <w:sz w:val="24"/>
        </w:rPr>
        <w:t>b (</w:t>
      </w:r>
      <w:proofErr w:type="spellStart"/>
      <w:r>
        <w:rPr>
          <w:rFonts w:ascii="Arial" w:hAnsi="Arial" w:cs="Arial"/>
          <w:sz w:val="24"/>
        </w:rPr>
        <w:t>i</w:t>
      </w:r>
      <w:proofErr w:type="spellEnd"/>
      <w:r>
        <w:rPr>
          <w:rFonts w:ascii="Arial" w:hAnsi="Arial" w:cs="Arial"/>
          <w:sz w:val="24"/>
        </w:rPr>
        <w:t>). Comment on the directors’ suggestion regarding the application of the same accounting treatment to its holding of corporate bonds in Stars plc and Mars plc.</w:t>
      </w:r>
      <w:r>
        <w:rPr>
          <w:rFonts w:ascii="Arial" w:hAnsi="Arial" w:cs="Arial"/>
          <w:sz w:val="24"/>
        </w:rPr>
        <w:br/>
      </w:r>
      <w:r w:rsidRPr="00610595">
        <w:rPr>
          <w:rFonts w:ascii="Arial" w:hAnsi="Arial" w:cs="Arial"/>
          <w:b/>
          <w:sz w:val="24"/>
        </w:rPr>
        <w:t xml:space="preserve">                                                                                                   </w:t>
      </w:r>
      <w:r>
        <w:rPr>
          <w:rFonts w:ascii="Arial" w:hAnsi="Arial" w:cs="Arial"/>
          <w:b/>
          <w:sz w:val="24"/>
        </w:rPr>
        <w:t xml:space="preserve">             </w:t>
      </w:r>
      <w:r w:rsidRPr="00610595">
        <w:rPr>
          <w:rFonts w:ascii="Arial" w:hAnsi="Arial" w:cs="Arial"/>
          <w:b/>
          <w:sz w:val="24"/>
        </w:rPr>
        <w:t xml:space="preserve"> 3 marks</w:t>
      </w:r>
    </w:p>
    <w:p w:rsidR="00065621" w:rsidRDefault="00065621" w:rsidP="00065621">
      <w:pPr>
        <w:rPr>
          <w:rFonts w:ascii="Arial" w:hAnsi="Arial" w:cs="Arial"/>
          <w:sz w:val="24"/>
        </w:rPr>
      </w:pPr>
      <w:r>
        <w:rPr>
          <w:rFonts w:ascii="Arial" w:hAnsi="Arial" w:cs="Arial"/>
          <w:sz w:val="24"/>
        </w:rPr>
        <w:t>b (ii). Show the ledger account in the books of Sky plc for the corporate bonds that it hold in Mars plc for the year ended 31 December 2018.</w:t>
      </w:r>
      <w:r>
        <w:rPr>
          <w:rFonts w:ascii="Arial" w:hAnsi="Arial" w:cs="Arial"/>
          <w:sz w:val="24"/>
        </w:rPr>
        <w:br/>
      </w:r>
      <w:r w:rsidRPr="00D75AE4">
        <w:rPr>
          <w:rFonts w:ascii="Arial" w:hAnsi="Arial" w:cs="Arial"/>
          <w:i/>
          <w:sz w:val="24"/>
        </w:rPr>
        <w:t xml:space="preserve">You are </w:t>
      </w:r>
      <w:r w:rsidRPr="00D75AE4">
        <w:rPr>
          <w:rFonts w:ascii="Arial" w:hAnsi="Arial" w:cs="Arial"/>
          <w:b/>
          <w:i/>
          <w:sz w:val="24"/>
        </w:rPr>
        <w:t>not</w:t>
      </w:r>
      <w:r w:rsidRPr="00D75AE4">
        <w:rPr>
          <w:rFonts w:ascii="Arial" w:hAnsi="Arial" w:cs="Arial"/>
          <w:i/>
          <w:sz w:val="24"/>
        </w:rPr>
        <w:t xml:space="preserve"> required to show the ledger account for the corporate bonds that Sky plc holds in Stars plc</w:t>
      </w:r>
      <w:r>
        <w:rPr>
          <w:rFonts w:ascii="Arial" w:hAnsi="Arial" w:cs="Arial"/>
          <w:i/>
          <w:sz w:val="24"/>
        </w:rPr>
        <w:t xml:space="preserve">                                                                                      </w:t>
      </w:r>
      <w:r w:rsidRPr="00E461AE">
        <w:rPr>
          <w:rFonts w:ascii="Arial" w:hAnsi="Arial" w:cs="Arial"/>
          <w:b/>
          <w:sz w:val="24"/>
        </w:rPr>
        <w:t>3 marks</w:t>
      </w:r>
      <w:r>
        <w:rPr>
          <w:rFonts w:ascii="Arial" w:hAnsi="Arial" w:cs="Arial"/>
          <w:sz w:val="24"/>
        </w:rPr>
        <w:br/>
      </w:r>
      <w:r>
        <w:rPr>
          <w:rFonts w:ascii="Arial" w:hAnsi="Arial" w:cs="Arial"/>
          <w:b/>
          <w:sz w:val="24"/>
        </w:rPr>
        <w:t xml:space="preserve">                                                                                                                20 marks</w:t>
      </w:r>
      <w:r w:rsidRPr="00610595">
        <w:rPr>
          <w:rFonts w:ascii="Arial" w:hAnsi="Arial" w:cs="Arial"/>
          <w:b/>
          <w:sz w:val="24"/>
        </w:rPr>
        <w:t xml:space="preserve">                                                                                                      </w:t>
      </w:r>
      <w:r>
        <w:rPr>
          <w:rFonts w:ascii="Arial" w:hAnsi="Arial" w:cs="Arial"/>
          <w:b/>
          <w:sz w:val="24"/>
        </w:rPr>
        <w:t xml:space="preserve">      </w:t>
      </w:r>
    </w:p>
    <w:p w:rsidR="00065621" w:rsidRDefault="00065621" w:rsidP="00065621"/>
    <w:p w:rsidR="00182D29" w:rsidRDefault="00183A8A"/>
    <w:sectPr w:rsidR="00182D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621"/>
    <w:rsid w:val="00065621"/>
    <w:rsid w:val="00183A8A"/>
    <w:rsid w:val="005D6642"/>
    <w:rsid w:val="00E51133"/>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7888D4D-BDDB-AE4F-AD9B-2F19BC492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65621"/>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730</Words>
  <Characters>3295</Characters>
  <Application>Microsoft Office Word</Application>
  <DocSecurity>0</DocSecurity>
  <Lines>142</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c:creator>
  <cp:keywords/>
  <dc:description/>
  <cp:lastModifiedBy>Lujain Mansour Almazmoumi</cp:lastModifiedBy>
  <cp:revision>2</cp:revision>
  <dcterms:created xsi:type="dcterms:W3CDTF">2020-01-29T01:14:00Z</dcterms:created>
  <dcterms:modified xsi:type="dcterms:W3CDTF">2020-01-29T01:15:00Z</dcterms:modified>
  <cp:category/>
</cp:coreProperties>
</file>