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P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D1C">
        <w:rPr>
          <w:rFonts w:ascii="Times New Roman" w:hAnsi="Times New Roman" w:cs="Times New Roman"/>
          <w:b/>
          <w:sz w:val="24"/>
          <w:szCs w:val="24"/>
        </w:rPr>
        <w:t>Financial Analysis</w:t>
      </w: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P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D1C">
        <w:rPr>
          <w:rFonts w:ascii="Times New Roman" w:hAnsi="Times New Roman" w:cs="Times New Roman"/>
          <w:sz w:val="24"/>
          <w:szCs w:val="24"/>
        </w:rPr>
        <w:t>Student’s Name</w:t>
      </w: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D1C">
        <w:rPr>
          <w:rFonts w:ascii="Times New Roman" w:hAnsi="Times New Roman" w:cs="Times New Roman"/>
          <w:sz w:val="24"/>
          <w:szCs w:val="24"/>
        </w:rPr>
        <w:t>University</w:t>
      </w:r>
    </w:p>
    <w:p w:rsidR="00B01D1C" w:rsidRP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01D1C" w:rsidRDefault="00B01D1C" w:rsidP="00B01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1D1C" w:rsidRDefault="00B01D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1D1C" w:rsidRP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D1C">
        <w:rPr>
          <w:rFonts w:ascii="Times New Roman" w:hAnsi="Times New Roman" w:cs="Times New Roman"/>
          <w:b/>
          <w:sz w:val="24"/>
          <w:szCs w:val="24"/>
        </w:rPr>
        <w:lastRenderedPageBreak/>
        <w:t>Financial Analysis</w:t>
      </w:r>
    </w:p>
    <w:p w:rsidR="004C6BD3" w:rsidRPr="00D54E83" w:rsidRDefault="004C6BD3" w:rsidP="00B01D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C62D0D" w:rsidRPr="00D54E83" w:rsidRDefault="005C684B" w:rsidP="00B01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Why do we need financial ratios?</w:t>
      </w:r>
      <w:bookmarkStart w:id="0" w:name="_GoBack"/>
      <w:bookmarkEnd w:id="0"/>
    </w:p>
    <w:p w:rsidR="00B01D1C" w:rsidRDefault="00B01D1C" w:rsidP="00B01D1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D1C">
        <w:rPr>
          <w:rFonts w:ascii="Times New Roman" w:hAnsi="Times New Roman" w:cs="Times New Roman"/>
          <w:sz w:val="24"/>
          <w:szCs w:val="24"/>
        </w:rPr>
        <w:t>Financial ratios create a platform for entrepreneurs to evaluate and analyze their firms' performance and make an in-depth comparison with similar businesses in the same industry. In other words, rations measure how two or more components of a financial statement are related to each other. In most cases, they are effectively used when results over several aspects are compared (</w:t>
      </w:r>
      <w:proofErr w:type="spellStart"/>
      <w:r w:rsidRPr="00B01D1C">
        <w:rPr>
          <w:rFonts w:ascii="Times New Roman" w:hAnsi="Times New Roman" w:cs="Times New Roman"/>
          <w:sz w:val="24"/>
          <w:szCs w:val="24"/>
        </w:rPr>
        <w:t>Wollmer</w:t>
      </w:r>
      <w:proofErr w:type="spellEnd"/>
      <w:r w:rsidRPr="00B01D1C">
        <w:rPr>
          <w:rFonts w:ascii="Times New Roman" w:hAnsi="Times New Roman" w:cs="Times New Roman"/>
          <w:sz w:val="24"/>
          <w:szCs w:val="24"/>
        </w:rPr>
        <w:t xml:space="preserve"> et al., 2017). In general, financial ratios are essential tools used to assess the relative strength of an enterprise through the performance of simple calculations on income statements, balance sheets, among others. </w:t>
      </w:r>
    </w:p>
    <w:p w:rsidR="004C6BD3" w:rsidRPr="00D54E83" w:rsidRDefault="004C6BD3" w:rsidP="00B01D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4C6BD3" w:rsidRPr="00D54E83" w:rsidRDefault="004C6BD3" w:rsidP="00B01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The difference between the current ratio and the quick ratio is “cash”</w:t>
      </w:r>
    </w:p>
    <w:p w:rsidR="004C6BD3" w:rsidRPr="00D54E83" w:rsidRDefault="00AF5D3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t xml:space="preserve">False: </w:t>
      </w:r>
      <w:r w:rsidR="004C6BD3" w:rsidRPr="00D54E83">
        <w:rPr>
          <w:rFonts w:ascii="Times New Roman" w:hAnsi="Times New Roman" w:cs="Times New Roman"/>
          <w:sz w:val="24"/>
          <w:szCs w:val="24"/>
        </w:rPr>
        <w:t xml:space="preserve">The difference between the two is that current ratio puts into considerations all the current assets while quick ratio only considers current assets less inventory. </w:t>
      </w:r>
    </w:p>
    <w:p w:rsidR="00AF5D3C" w:rsidRPr="00D54E83" w:rsidRDefault="00AF5D3C" w:rsidP="00B01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The return on assets measures the risk that some assets may cause.</w:t>
      </w:r>
    </w:p>
    <w:p w:rsidR="00AF5D3C" w:rsidRPr="00D54E83" w:rsidRDefault="00AF5D3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t xml:space="preserve">False: The return on assets measures how much income can be generated by assets </w:t>
      </w:r>
      <w:proofErr w:type="spellStart"/>
      <w:r w:rsidRPr="00D54E83">
        <w:rPr>
          <w:rFonts w:ascii="Times New Roman" w:hAnsi="Times New Roman" w:cs="Times New Roman"/>
          <w:sz w:val="24"/>
          <w:szCs w:val="24"/>
        </w:rPr>
        <w:t>wthout</w:t>
      </w:r>
      <w:proofErr w:type="spellEnd"/>
      <w:r w:rsidRPr="00D54E83">
        <w:rPr>
          <w:rFonts w:ascii="Times New Roman" w:hAnsi="Times New Roman" w:cs="Times New Roman"/>
          <w:sz w:val="24"/>
          <w:szCs w:val="24"/>
        </w:rPr>
        <w:t xml:space="preserve"> indicating the risk factor of the assets</w:t>
      </w:r>
    </w:p>
    <w:p w:rsidR="00AF5D3C" w:rsidRPr="00D54E83" w:rsidRDefault="00AF5D3C" w:rsidP="00B01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Debt to equity is the ratio of long-term borrowing to total shareholders’ equity</w:t>
      </w:r>
    </w:p>
    <w:p w:rsidR="00AF5D3C" w:rsidRPr="00D54E83" w:rsidRDefault="00AF5D3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t xml:space="preserve">False: Debt to equity is the ratio of short term plus long term debt to the shareholder’s equity. </w:t>
      </w:r>
    </w:p>
    <w:p w:rsidR="00AF5D3C" w:rsidRPr="00D54E83" w:rsidRDefault="00AF5D3C" w:rsidP="00B01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Creditor d</w:t>
      </w:r>
      <w:r w:rsidRPr="00D54E83">
        <w:rPr>
          <w:rFonts w:ascii="Times New Roman" w:hAnsi="Times New Roman" w:cs="Times New Roman"/>
          <w:b/>
          <w:sz w:val="24"/>
          <w:szCs w:val="24"/>
        </w:rPr>
        <w:t xml:space="preserve">ays is measured as a percentage. </w:t>
      </w:r>
    </w:p>
    <w:p w:rsidR="00AF5D3C" w:rsidRPr="00D54E83" w:rsidRDefault="00AF5D3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t xml:space="preserve">False: Creditor days is measured in days, not percentage trade payables to cost of sales). </w:t>
      </w:r>
    </w:p>
    <w:p w:rsidR="00DA4599" w:rsidRPr="00D54E83" w:rsidRDefault="00DA4599" w:rsidP="00B01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Liquidity ratios matter for creditors.</w:t>
      </w:r>
    </w:p>
    <w:p w:rsidR="00AF5D3C" w:rsidRPr="00D54E83" w:rsidRDefault="00AF5D3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lastRenderedPageBreak/>
        <w:t xml:space="preserve">True: </w:t>
      </w:r>
      <w:r w:rsidR="00DA4599" w:rsidRPr="00D54E83">
        <w:rPr>
          <w:rFonts w:ascii="Times New Roman" w:hAnsi="Times New Roman" w:cs="Times New Roman"/>
          <w:sz w:val="24"/>
          <w:szCs w:val="24"/>
        </w:rPr>
        <w:t xml:space="preserve">Creditors acts as the lenders to the company and the firm’s liquidity profile matters to them. </w:t>
      </w:r>
    </w:p>
    <w:p w:rsidR="004F18D5" w:rsidRPr="00D54E83" w:rsidRDefault="00A94B4F" w:rsidP="00B01D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>Problem 3</w:t>
      </w:r>
    </w:p>
    <w:tbl>
      <w:tblPr>
        <w:tblW w:w="97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8"/>
        <w:gridCol w:w="3245"/>
        <w:gridCol w:w="2712"/>
      </w:tblGrid>
      <w:tr w:rsidR="0095609A" w:rsidRPr="00D54E83" w:rsidTr="00B01D1C">
        <w:trPr>
          <w:trHeight w:val="30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5609A" w:rsidRPr="00D54E83" w:rsidRDefault="0095609A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two financial ratios that I can recommend are the following:</w:t>
            </w:r>
          </w:p>
          <w:p w:rsidR="0095609A" w:rsidRPr="00D54E83" w:rsidRDefault="0095609A" w:rsidP="00B01D1C">
            <w:pPr>
              <w:pStyle w:val="ListParagraph"/>
              <w:numPr>
                <w:ilvl w:val="0"/>
                <w:numId w:val="3"/>
              </w:num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Quick Ratio</w:t>
            </w:r>
          </w:p>
          <w:p w:rsidR="0095609A" w:rsidRPr="00D54E83" w:rsidRDefault="0095609A" w:rsidP="00B01D1C">
            <w:pPr>
              <w:pStyle w:val="ListParagraph"/>
              <w:numPr>
                <w:ilvl w:val="0"/>
                <w:numId w:val="3"/>
              </w:num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Debt to Equity Ratio</w:t>
            </w:r>
          </w:p>
        </w:tc>
      </w:tr>
      <w:tr w:rsidR="0095609A" w:rsidRPr="00D54E83" w:rsidTr="00B01D1C">
        <w:trPr>
          <w:trHeight w:val="30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5609A" w:rsidRPr="00881AA2" w:rsidRDefault="0095609A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Debt to Equity Ratio= Total Liabilities​</w:t>
            </w: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</w:p>
        </w:tc>
      </w:tr>
      <w:tr w:rsidR="0095609A" w:rsidRPr="00D54E83" w:rsidTr="00B01D1C">
        <w:trPr>
          <w:trHeight w:val="30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5609A" w:rsidRPr="00881AA2" w:rsidRDefault="0095609A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Shareholders’ Equity</w:t>
            </w:r>
          </w:p>
        </w:tc>
      </w:tr>
      <w:tr w:rsidR="0095609A" w:rsidRPr="00D54E83" w:rsidTr="00B01D1C">
        <w:trPr>
          <w:trHeight w:val="30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5609A" w:rsidRPr="00881AA2" w:rsidRDefault="0095609A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proofErr w:type="spellStart"/>
            <w:r w:rsidRPr="00881A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Amt</w:t>
            </w:r>
            <w:proofErr w:type="spellEnd"/>
            <w:r w:rsidRPr="00881A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in million KD)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Year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Liabilities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Long term Debt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60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130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Accounts Payable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122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135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Accrued Expenses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(a)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217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300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95609A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Shareholder’s</w:t>
            </w:r>
            <w:r w:rsidR="00881AA2"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Equity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Share capital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75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Retained Earnings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21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Fair Value Reserves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165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119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(b)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275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215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Debt to Equity Ratio (a/b)   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0.8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1.4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Quick Ratio = </w:t>
            </w: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Liquid Assets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 Current liabilities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Year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Liquid Assets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Cash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47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Accounts Receivable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40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(a)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72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87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Current Liabilities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Accounts Payable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122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135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Accrued Expenses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35</w:t>
            </w:r>
          </w:p>
        </w:tc>
      </w:tr>
      <w:tr w:rsidR="00B01D1C" w:rsidRPr="00881AA2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(b)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157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170</w:t>
            </w:r>
          </w:p>
        </w:tc>
      </w:tr>
      <w:tr w:rsidR="00A755D2" w:rsidRPr="00D54E83" w:rsidTr="00B01D1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Quick Ratio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0.46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81AA2" w:rsidRPr="00881AA2" w:rsidRDefault="00881AA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81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0.51</w:t>
            </w:r>
          </w:p>
        </w:tc>
      </w:tr>
    </w:tbl>
    <w:p w:rsidR="004F18D5" w:rsidRPr="00D54E83" w:rsidRDefault="004F18D5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4B4F" w:rsidRPr="00A94B4F" w:rsidRDefault="00A94B4F" w:rsidP="00B01D1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>b)</w:t>
      </w:r>
    </w:p>
    <w:tbl>
      <w:tblPr>
        <w:tblW w:w="85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2982"/>
        <w:gridCol w:w="2070"/>
        <w:gridCol w:w="21"/>
      </w:tblGrid>
      <w:tr w:rsidR="00A755D2" w:rsidRPr="00D54E83" w:rsidTr="00B01D1C">
        <w:trPr>
          <w:gridAfter w:val="1"/>
          <w:wAfter w:w="21" w:type="dxa"/>
          <w:trHeight w:val="300"/>
        </w:trPr>
        <w:tc>
          <w:tcPr>
            <w:tcW w:w="85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Calculation of Net Profit Margin</w:t>
            </w: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(</w:t>
            </w:r>
            <w:proofErr w:type="spellStart"/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Amt</w:t>
            </w:r>
            <w:proofErr w:type="spellEnd"/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in million KD)</w:t>
            </w: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Revenue (a)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Cost of Goods Sold ( b)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Gross profit(a-b)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Less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 Gen &amp; </w:t>
            </w:r>
            <w:proofErr w:type="spellStart"/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Adm</w:t>
            </w:r>
            <w:proofErr w:type="spellEnd"/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Exp</w:t>
            </w:r>
            <w:proofErr w:type="spellEnd"/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-16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-16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Operating Income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Less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 Interest </w:t>
            </w:r>
            <w:proofErr w:type="spellStart"/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Exp</w:t>
            </w:r>
            <w:proofErr w:type="spellEnd"/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Profit Before Tax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Less Tax Expense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0.25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0.5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Profit after Tax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11.75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5.5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Net Profit Margin=   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Profit After tax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FFFFFF"/>
            <w:vAlign w:val="center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" w:type="dxa"/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Revenue                               </w:t>
            </w:r>
          </w:p>
        </w:tc>
        <w:tc>
          <w:tcPr>
            <w:tcW w:w="2982" w:type="dxa"/>
            <w:shd w:val="clear" w:color="auto" w:fill="FFFFFF"/>
            <w:vAlign w:val="center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FFFFFF"/>
            <w:vAlign w:val="center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" w:type="dxa"/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5D2" w:rsidRPr="00D54E83" w:rsidTr="00B01D1C">
        <w:trPr>
          <w:trHeight w:val="300"/>
        </w:trPr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Net Profit Margin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16%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55D2" w:rsidRPr="00A94B4F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10%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55D2" w:rsidRPr="00D54E83" w:rsidRDefault="00A755D2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A94B4F" w:rsidRPr="00A94B4F" w:rsidRDefault="00A94B4F" w:rsidP="00B01D1C">
      <w:pPr>
        <w:spacing w:after="0" w:line="48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5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0"/>
        <w:gridCol w:w="3210"/>
        <w:gridCol w:w="2340"/>
      </w:tblGrid>
      <w:tr w:rsidR="00A94B4F" w:rsidRPr="00A94B4F" w:rsidTr="00B01D1C">
        <w:trPr>
          <w:gridAfter w:val="1"/>
          <w:wAfter w:w="2340" w:type="dxa"/>
          <w:trHeight w:val="30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Return on Assets = 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Net Income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B01D1C">
        <w:trPr>
          <w:gridAfter w:val="1"/>
          <w:wAfter w:w="2340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Assets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B01D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2020</w:t>
            </w:r>
          </w:p>
        </w:tc>
      </w:tr>
      <w:tr w:rsidR="00A94B4F" w:rsidRPr="00A94B4F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Net Income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11.75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5.5</w:t>
            </w:r>
          </w:p>
        </w:tc>
      </w:tr>
      <w:tr w:rsidR="00A94B4F" w:rsidRPr="00A94B4F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Assets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492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515</w:t>
            </w:r>
          </w:p>
        </w:tc>
      </w:tr>
      <w:tr w:rsidR="00A94B4F" w:rsidRPr="00A94B4F" w:rsidTr="00B01D1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Return on Assets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2.4%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1.1%</w:t>
            </w:r>
          </w:p>
        </w:tc>
      </w:tr>
    </w:tbl>
    <w:p w:rsidR="00A94B4F" w:rsidRPr="00A94B4F" w:rsidRDefault="00A94B4F" w:rsidP="00B01D1C">
      <w:pPr>
        <w:spacing w:after="0" w:line="48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5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3742"/>
        <w:gridCol w:w="2610"/>
      </w:tblGrid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Return on Equity= (Net Income / Shareholders' Equity)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Net Income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11.75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5.5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Shareholders' Equity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275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215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ROE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4.27%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2.56%</w:t>
            </w:r>
          </w:p>
        </w:tc>
      </w:tr>
    </w:tbl>
    <w:p w:rsidR="00A94B4F" w:rsidRPr="00D54E83" w:rsidRDefault="00A94B4F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755D2" w:rsidRPr="00D54E83" w:rsidRDefault="00A755D2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4E83">
        <w:rPr>
          <w:rFonts w:ascii="Times New Roman" w:hAnsi="Times New Roman" w:cs="Times New Roman"/>
          <w:sz w:val="24"/>
          <w:szCs w:val="24"/>
        </w:rPr>
        <w:t xml:space="preserve">Analysis: </w:t>
      </w:r>
      <w:r w:rsidRPr="00D54E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D54E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drop in Net Profit Margin indicates that there has been a decrease in the profit margin</w:t>
      </w:r>
      <w:r w:rsidR="00B01D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r w:rsidR="00B01D1C"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</w:t>
      </w:r>
      <w:r w:rsid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01D1C"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proofErr w:type="spellStart"/>
      <w:r w:rsidR="00B01D1C"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Sormin</w:t>
      </w:r>
      <w:proofErr w:type="spellEnd"/>
      <w:r w:rsidR="00B01D1C"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Pr="00D54E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A94B4F" w:rsidRPr="00D54E83" w:rsidRDefault="00A94B4F" w:rsidP="00B01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4E83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755D2" w:rsidRPr="00D54E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5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0"/>
        <w:gridCol w:w="3655"/>
        <w:gridCol w:w="1890"/>
      </w:tblGrid>
      <w:tr w:rsidR="00A94B4F" w:rsidRPr="00A94B4F" w:rsidTr="00D54E83">
        <w:trPr>
          <w:gridAfter w:val="1"/>
          <w:wAfter w:w="1890" w:type="dxa"/>
          <w:trHeight w:val="30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Debt to Asset ratio = 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Total Debt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D54E83">
        <w:trPr>
          <w:gridAfter w:val="1"/>
          <w:wAfter w:w="1890" w:type="dxa"/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Assets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Debt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217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300</w:t>
            </w:r>
          </w:p>
        </w:tc>
      </w:tr>
      <w:tr w:rsidR="00D54E83" w:rsidRPr="00A94B4F" w:rsidTr="00D54E8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 Assets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492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515</w:t>
            </w:r>
          </w:p>
        </w:tc>
      </w:tr>
      <w:tr w:rsidR="00D54E83" w:rsidRPr="00A94B4F" w:rsidTr="00D54E8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44%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58%</w:t>
            </w:r>
          </w:p>
        </w:tc>
      </w:tr>
    </w:tbl>
    <w:p w:rsidR="00D54E83" w:rsidRPr="00D54E83" w:rsidRDefault="00D54E83" w:rsidP="00B01D1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94B4F" w:rsidRPr="00A94B4F" w:rsidRDefault="00D54E83" w:rsidP="00B01D1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54E8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Comment: The</w:t>
      </w:r>
      <w:r w:rsidR="00A94B4F"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analyst's claim is wrong as the debt to asset ratio has increased.</w:t>
      </w:r>
    </w:p>
    <w:tbl>
      <w:tblPr>
        <w:tblW w:w="9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2137"/>
        <w:gridCol w:w="1980"/>
      </w:tblGrid>
      <w:tr w:rsidR="00A94B4F" w:rsidRPr="00A94B4F" w:rsidTr="00D54E83">
        <w:trPr>
          <w:gridAfter w:val="2"/>
          <w:wAfter w:w="4117" w:type="dxa"/>
          <w:trHeight w:val="300"/>
        </w:trPr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Inventory turnover ratio= 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Cost of goods sold</w:t>
            </w:r>
          </w:p>
        </w:tc>
      </w:tr>
      <w:tr w:rsidR="00A94B4F" w:rsidRPr="00A94B4F" w:rsidTr="00D54E83">
        <w:trPr>
          <w:gridAfter w:val="2"/>
          <w:wAfter w:w="4117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                      Average inventory</w:t>
            </w: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COGS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Average inventory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A94B4F" w:rsidRPr="00A94B4F" w:rsidTr="00D54E8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inventory turnover ratio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6.3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4.2</w:t>
            </w:r>
          </w:p>
        </w:tc>
      </w:tr>
    </w:tbl>
    <w:p w:rsidR="00A94B4F" w:rsidRPr="00A94B4F" w:rsidRDefault="00A94B4F" w:rsidP="00B01D1C">
      <w:pPr>
        <w:spacing w:after="0" w:line="48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2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4659"/>
        <w:gridCol w:w="1451"/>
      </w:tblGrid>
      <w:tr w:rsidR="00A94B4F" w:rsidRPr="00A94B4F" w:rsidTr="00A94B4F">
        <w:trPr>
          <w:gridAfter w:val="1"/>
          <w:trHeight w:val="30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54E83" w:rsidRPr="00D54E83" w:rsidRDefault="00D54E83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Creditor days= 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365/ payable turnover ratio 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A94B4F">
        <w:trPr>
          <w:gridAfter w:val="1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(in mill KD)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2020</w:t>
            </w: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54E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Accounts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135</w:t>
            </w: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COGS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*assuming accounts payable as average accounts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38/122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25/[135+122/2]</w:t>
            </w:r>
          </w:p>
        </w:tc>
      </w:tr>
      <w:tr w:rsidR="00A94B4F" w:rsidRPr="00A94B4F" w:rsidTr="00A94B4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Days=(365/accounts turnover)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0.31</w:t>
            </w:r>
          </w:p>
          <w:p w:rsidR="00A94B4F" w:rsidRPr="00A94B4F" w:rsidRDefault="00A94B4F" w:rsidP="00B01D1C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0.19</w:t>
            </w:r>
          </w:p>
          <w:p w:rsidR="00A94B4F" w:rsidRPr="00A94B4F" w:rsidRDefault="00A94B4F" w:rsidP="00B01D1C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1921</w:t>
            </w:r>
          </w:p>
        </w:tc>
      </w:tr>
    </w:tbl>
    <w:p w:rsidR="00A94B4F" w:rsidRPr="00A94B4F" w:rsidRDefault="00A94B4F" w:rsidP="00B01D1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>Creditor days indicate in how much ti</w:t>
      </w:r>
      <w:r w:rsidR="00D54E83" w:rsidRPr="00D54E83">
        <w:rPr>
          <w:rFonts w:ascii="Times New Roman" w:eastAsia="Times New Roman" w:hAnsi="Times New Roman" w:cs="Times New Roman"/>
          <w:color w:val="333333"/>
          <w:sz w:val="24"/>
          <w:szCs w:val="24"/>
        </w:rPr>
        <w:t>me creditors are being paid by t</w:t>
      </w:r>
      <w:r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>he enterprise</w:t>
      </w:r>
      <w:r w:rsidR="00B01D1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 w:rsidR="00B01D1C"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Sunjoko</w:t>
      </w:r>
      <w:proofErr w:type="spellEnd"/>
      <w:r w:rsid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216)</w:t>
      </w:r>
      <w:r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>. Here Creditor Days ratio is not ideal.</w:t>
      </w:r>
    </w:p>
    <w:p w:rsidR="00A94B4F" w:rsidRPr="00A94B4F" w:rsidRDefault="00A94B4F" w:rsidP="00B01D1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4B4F">
        <w:rPr>
          <w:rFonts w:ascii="Times New Roman" w:eastAsia="Times New Roman" w:hAnsi="Times New Roman" w:cs="Times New Roman"/>
          <w:color w:val="333333"/>
          <w:sz w:val="24"/>
          <w:szCs w:val="24"/>
        </w:rPr>
        <w:t>e)</w:t>
      </w:r>
    </w:p>
    <w:tbl>
      <w:tblPr>
        <w:tblW w:w="94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3"/>
        <w:gridCol w:w="3479"/>
        <w:gridCol w:w="3240"/>
      </w:tblGrid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Assets Turnover Ratio=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Total Revenue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Avg</w:t>
            </w:r>
            <w:proofErr w:type="spellEnd"/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Assets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2019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2020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Total Assets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492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515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Total Revenue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75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55</w:t>
            </w: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B4F" w:rsidRPr="00A94B4F" w:rsidTr="00D54E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Assets Turnover Ratio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0.15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94B4F" w:rsidRPr="00A94B4F" w:rsidRDefault="00A94B4F" w:rsidP="00B01D1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94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0.11</w:t>
            </w:r>
          </w:p>
        </w:tc>
      </w:tr>
    </w:tbl>
    <w:p w:rsidR="00A94B4F" w:rsidRDefault="00A94B4F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01D1C" w:rsidRDefault="00B01D1C" w:rsidP="00B01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1D1C" w:rsidRDefault="00B01D1C" w:rsidP="00B01D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01D1C" w:rsidRPr="00B01D1C" w:rsidRDefault="00B01D1C" w:rsidP="00B01D1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Sunjoko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I., &amp; ARILYN, E. J. (2016). Effects of inventory turnover, total asset turnover, fixed asset turnover, current ratio and average collection period on profitability. </w:t>
      </w:r>
      <w:proofErr w:type="spellStart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</w:t>
      </w:r>
      <w:proofErr w:type="spellEnd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Bisnis</w:t>
      </w:r>
      <w:proofErr w:type="spellEnd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dan</w:t>
      </w:r>
      <w:proofErr w:type="spellEnd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Akuntansi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79-83.</w:t>
      </w:r>
    </w:p>
    <w:p w:rsidR="00B01D1C" w:rsidRPr="00B01D1C" w:rsidRDefault="00B01D1C" w:rsidP="00B01D1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Lie, C. A., &amp; </w:t>
      </w: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Sormin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(2016). Determining The Influence </w:t>
      </w:r>
      <w:proofErr w:type="gram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gram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Current Ratio, Return On Assets, Total Assets Turnover Ratio And Debt To Equity Ratio On Stock Return (A Study Of The Manufacturing Company Listed In Indonesia Stock Exchange Period 2010-2014). </w:t>
      </w:r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 TRANSFORMATIF UNKRISWINA SUMBA</w:t>
      </w: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77-90.</w:t>
      </w:r>
    </w:p>
    <w:p w:rsidR="00B01D1C" w:rsidRPr="00B01D1C" w:rsidRDefault="00B01D1C" w:rsidP="00B01D1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Wollmer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Frantz, S., </w:t>
      </w: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Engström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</w:t>
      </w: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Dencker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Löfdahl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G., &amp; </w:t>
      </w:r>
      <w:proofErr w:type="spellStart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Nihlén</w:t>
      </w:r>
      <w:proofErr w:type="spellEnd"/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U. (2017). Fixed ratio or lower limit of normal for the FEV1/VC ratio: relation to symptoms and extended lung function tests. </w:t>
      </w:r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physiology and functional imaging</w:t>
      </w: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1D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B01D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263-269.</w:t>
      </w:r>
    </w:p>
    <w:sectPr w:rsidR="00B01D1C" w:rsidRPr="00B01D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57F" w:rsidRDefault="00F0057F" w:rsidP="00B01D1C">
      <w:pPr>
        <w:spacing w:after="0" w:line="240" w:lineRule="auto"/>
      </w:pPr>
      <w:r>
        <w:separator/>
      </w:r>
    </w:p>
  </w:endnote>
  <w:endnote w:type="continuationSeparator" w:id="0">
    <w:p w:rsidR="00F0057F" w:rsidRDefault="00F0057F" w:rsidP="00B0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57F" w:rsidRDefault="00F0057F" w:rsidP="00B01D1C">
      <w:pPr>
        <w:spacing w:after="0" w:line="240" w:lineRule="auto"/>
      </w:pPr>
      <w:r>
        <w:separator/>
      </w:r>
    </w:p>
  </w:footnote>
  <w:footnote w:type="continuationSeparator" w:id="0">
    <w:p w:rsidR="00F0057F" w:rsidRDefault="00F0057F" w:rsidP="00B01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D1C" w:rsidRPr="00B01D1C" w:rsidRDefault="00B01D1C">
    <w:pPr>
      <w:pStyle w:val="Header"/>
      <w:rPr>
        <w:rFonts w:ascii="Times New Roman" w:hAnsi="Times New Roman" w:cs="Times New Roman"/>
        <w:sz w:val="24"/>
        <w:szCs w:val="24"/>
      </w:rPr>
    </w:pPr>
    <w:r w:rsidRPr="00B01D1C">
      <w:rPr>
        <w:rFonts w:ascii="Times New Roman" w:hAnsi="Times New Roman" w:cs="Times New Roman"/>
        <w:sz w:val="24"/>
        <w:szCs w:val="24"/>
      </w:rPr>
      <w:tab/>
    </w:r>
    <w:r w:rsidRPr="00B01D1C">
      <w:rPr>
        <w:rFonts w:ascii="Times New Roman" w:hAnsi="Times New Roman" w:cs="Times New Roman"/>
        <w:sz w:val="24"/>
        <w:szCs w:val="24"/>
      </w:rPr>
      <w:tab/>
    </w:r>
    <w:r w:rsidRPr="00B01D1C">
      <w:rPr>
        <w:rFonts w:ascii="Times New Roman" w:hAnsi="Times New Roman" w:cs="Times New Roman"/>
        <w:sz w:val="24"/>
        <w:szCs w:val="24"/>
      </w:rPr>
      <w:fldChar w:fldCharType="begin"/>
    </w:r>
    <w:r w:rsidRPr="00B01D1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01D1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10</w:t>
    </w:r>
    <w:r w:rsidRPr="00B01D1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B7F"/>
    <w:multiLevelType w:val="hybridMultilevel"/>
    <w:tmpl w:val="632642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623C"/>
    <w:multiLevelType w:val="hybridMultilevel"/>
    <w:tmpl w:val="632642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4711F"/>
    <w:multiLevelType w:val="hybridMultilevel"/>
    <w:tmpl w:val="63F67232"/>
    <w:lvl w:ilvl="0" w:tplc="83F83F5E">
      <w:start w:val="1"/>
      <w:numFmt w:val="lowerLetter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4B"/>
    <w:rsid w:val="00086DA2"/>
    <w:rsid w:val="00492EAE"/>
    <w:rsid w:val="004C6BD3"/>
    <w:rsid w:val="004F18D5"/>
    <w:rsid w:val="005C684B"/>
    <w:rsid w:val="006C1C61"/>
    <w:rsid w:val="00881AA2"/>
    <w:rsid w:val="0095609A"/>
    <w:rsid w:val="00A755D2"/>
    <w:rsid w:val="00A94B4F"/>
    <w:rsid w:val="00AF5D3C"/>
    <w:rsid w:val="00B01D1C"/>
    <w:rsid w:val="00C150C9"/>
    <w:rsid w:val="00C62D0D"/>
    <w:rsid w:val="00D54E83"/>
    <w:rsid w:val="00DA4599"/>
    <w:rsid w:val="00F0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02BF"/>
  <w15:chartTrackingRefBased/>
  <w15:docId w15:val="{9EBE6BE6-1E77-4B38-8054-7A9EC740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D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81AA2"/>
    <w:rPr>
      <w:b/>
      <w:bCs/>
    </w:rPr>
  </w:style>
  <w:style w:type="character" w:styleId="Emphasis">
    <w:name w:val="Emphasis"/>
    <w:basedOn w:val="DefaultParagraphFont"/>
    <w:uiPriority w:val="20"/>
    <w:qFormat/>
    <w:rsid w:val="00881AA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94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D1C"/>
  </w:style>
  <w:style w:type="paragraph" w:styleId="Footer">
    <w:name w:val="footer"/>
    <w:basedOn w:val="Normal"/>
    <w:link w:val="FooterChar"/>
    <w:uiPriority w:val="99"/>
    <w:unhideWhenUsed/>
    <w:rsid w:val="00B01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7EA25-5B44-4B89-B528-EA75E68A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2020-09-06T07:31:00Z</dcterms:created>
  <dcterms:modified xsi:type="dcterms:W3CDTF">2020-09-06T09:02:00Z</dcterms:modified>
</cp:coreProperties>
</file>