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E26" w:rsidRPr="009D0E26" w:rsidRDefault="009D0E26" w:rsidP="009D0E26">
      <w:pPr>
        <w:spacing w:line="480" w:lineRule="auto"/>
        <w:jc w:val="center"/>
        <w:rPr>
          <w:rFonts w:ascii="Times New Roman" w:hAnsi="Times New Roman" w:cs="Times New Roman"/>
          <w:sz w:val="24"/>
          <w:szCs w:val="24"/>
        </w:rPr>
      </w:pPr>
    </w:p>
    <w:p w:rsidR="009D0E26" w:rsidRPr="009D0E26" w:rsidRDefault="009D0E26" w:rsidP="009D0E26">
      <w:pPr>
        <w:spacing w:line="480" w:lineRule="auto"/>
        <w:jc w:val="center"/>
        <w:rPr>
          <w:rFonts w:ascii="Times New Roman" w:hAnsi="Times New Roman" w:cs="Times New Roman"/>
          <w:sz w:val="24"/>
          <w:szCs w:val="24"/>
        </w:rPr>
      </w:pPr>
    </w:p>
    <w:p w:rsidR="009D0E26" w:rsidRPr="009D0E26" w:rsidRDefault="009D0E26" w:rsidP="009D0E26">
      <w:pPr>
        <w:spacing w:line="480" w:lineRule="auto"/>
        <w:jc w:val="center"/>
        <w:rPr>
          <w:rFonts w:ascii="Times New Roman" w:hAnsi="Times New Roman" w:cs="Times New Roman"/>
          <w:sz w:val="24"/>
          <w:szCs w:val="24"/>
        </w:rPr>
      </w:pPr>
    </w:p>
    <w:p w:rsidR="009D0E26" w:rsidRPr="009D0E26" w:rsidRDefault="009D0E26" w:rsidP="009D0E26">
      <w:pPr>
        <w:spacing w:line="480" w:lineRule="auto"/>
        <w:jc w:val="center"/>
        <w:rPr>
          <w:rFonts w:ascii="Times New Roman" w:hAnsi="Times New Roman" w:cs="Times New Roman"/>
          <w:sz w:val="24"/>
          <w:szCs w:val="24"/>
        </w:rPr>
      </w:pPr>
    </w:p>
    <w:p w:rsidR="009D0E26" w:rsidRPr="009D0E26" w:rsidRDefault="009D0E26" w:rsidP="009D0E26">
      <w:pPr>
        <w:spacing w:line="480" w:lineRule="auto"/>
        <w:jc w:val="center"/>
        <w:rPr>
          <w:rFonts w:ascii="Times New Roman" w:hAnsi="Times New Roman" w:cs="Times New Roman"/>
          <w:sz w:val="24"/>
          <w:szCs w:val="24"/>
        </w:rPr>
      </w:pPr>
    </w:p>
    <w:p w:rsidR="009D0E26" w:rsidRPr="009D0E26" w:rsidRDefault="009D0E26" w:rsidP="009D0E26">
      <w:pPr>
        <w:spacing w:line="480" w:lineRule="auto"/>
        <w:jc w:val="center"/>
        <w:rPr>
          <w:rFonts w:ascii="Times New Roman" w:hAnsi="Times New Roman" w:cs="Times New Roman"/>
          <w:sz w:val="24"/>
          <w:szCs w:val="24"/>
        </w:rPr>
      </w:pPr>
    </w:p>
    <w:p w:rsidR="008F168B" w:rsidRPr="009D0E26" w:rsidRDefault="008F168B" w:rsidP="009D0E26">
      <w:pPr>
        <w:spacing w:line="480" w:lineRule="auto"/>
        <w:jc w:val="center"/>
        <w:rPr>
          <w:rFonts w:ascii="Times New Roman" w:hAnsi="Times New Roman" w:cs="Times New Roman"/>
          <w:sz w:val="24"/>
          <w:szCs w:val="24"/>
        </w:rPr>
      </w:pPr>
      <w:r w:rsidRPr="009D0E26">
        <w:rPr>
          <w:rFonts w:ascii="Times New Roman" w:hAnsi="Times New Roman" w:cs="Times New Roman"/>
          <w:sz w:val="24"/>
          <w:szCs w:val="24"/>
        </w:rPr>
        <w:t>GARCETTI et al. v. CEBALLOS, (2006)</w:t>
      </w:r>
    </w:p>
    <w:p w:rsidR="002D5928" w:rsidRPr="009D0E26" w:rsidRDefault="002D5928" w:rsidP="009D0E26">
      <w:pPr>
        <w:spacing w:line="480" w:lineRule="auto"/>
        <w:jc w:val="center"/>
        <w:rPr>
          <w:rFonts w:ascii="Times New Roman" w:hAnsi="Times New Roman" w:cs="Times New Roman"/>
          <w:sz w:val="24"/>
          <w:szCs w:val="24"/>
        </w:rPr>
      </w:pPr>
      <w:r w:rsidRPr="009D0E26">
        <w:rPr>
          <w:rFonts w:ascii="Times New Roman" w:hAnsi="Times New Roman" w:cs="Times New Roman"/>
          <w:sz w:val="24"/>
          <w:szCs w:val="24"/>
        </w:rPr>
        <w:t>Name of student</w:t>
      </w:r>
      <w:bookmarkStart w:id="0" w:name="_GoBack"/>
      <w:bookmarkEnd w:id="0"/>
    </w:p>
    <w:p w:rsidR="002D5928" w:rsidRPr="009D0E26" w:rsidRDefault="002D5928" w:rsidP="009D0E26">
      <w:pPr>
        <w:spacing w:line="480" w:lineRule="auto"/>
        <w:jc w:val="center"/>
        <w:rPr>
          <w:rFonts w:ascii="Times New Roman" w:hAnsi="Times New Roman" w:cs="Times New Roman"/>
          <w:sz w:val="24"/>
          <w:szCs w:val="24"/>
        </w:rPr>
      </w:pPr>
      <w:r w:rsidRPr="009D0E26">
        <w:rPr>
          <w:rFonts w:ascii="Times New Roman" w:hAnsi="Times New Roman" w:cs="Times New Roman"/>
          <w:sz w:val="24"/>
          <w:szCs w:val="24"/>
        </w:rPr>
        <w:t>Lecturer</w:t>
      </w:r>
    </w:p>
    <w:p w:rsidR="002D5928" w:rsidRPr="009D0E26" w:rsidRDefault="002D5928" w:rsidP="009D0E26">
      <w:pPr>
        <w:spacing w:line="480" w:lineRule="auto"/>
        <w:jc w:val="center"/>
        <w:rPr>
          <w:rFonts w:ascii="Times New Roman" w:hAnsi="Times New Roman" w:cs="Times New Roman"/>
          <w:sz w:val="24"/>
          <w:szCs w:val="24"/>
        </w:rPr>
      </w:pPr>
      <w:r w:rsidRPr="009D0E26">
        <w:rPr>
          <w:rFonts w:ascii="Times New Roman" w:hAnsi="Times New Roman" w:cs="Times New Roman"/>
          <w:sz w:val="24"/>
          <w:szCs w:val="24"/>
        </w:rPr>
        <w:t>Course title</w:t>
      </w:r>
    </w:p>
    <w:p w:rsidR="002D5928" w:rsidRPr="009D0E26" w:rsidRDefault="002D5928" w:rsidP="009D0E26">
      <w:pPr>
        <w:spacing w:line="480" w:lineRule="auto"/>
        <w:jc w:val="center"/>
        <w:rPr>
          <w:rFonts w:ascii="Times New Roman" w:hAnsi="Times New Roman" w:cs="Times New Roman"/>
          <w:sz w:val="24"/>
          <w:szCs w:val="24"/>
        </w:rPr>
      </w:pPr>
      <w:r w:rsidRPr="009D0E26">
        <w:rPr>
          <w:rFonts w:ascii="Times New Roman" w:hAnsi="Times New Roman" w:cs="Times New Roman"/>
          <w:sz w:val="24"/>
          <w:szCs w:val="24"/>
        </w:rPr>
        <w:t>Date of submission</w:t>
      </w:r>
    </w:p>
    <w:p w:rsidR="002D5928" w:rsidRPr="009D0E26" w:rsidRDefault="002D5928" w:rsidP="009D0E26">
      <w:pPr>
        <w:spacing w:line="480" w:lineRule="auto"/>
        <w:jc w:val="both"/>
        <w:rPr>
          <w:rFonts w:ascii="Times New Roman" w:hAnsi="Times New Roman" w:cs="Times New Roman"/>
          <w:sz w:val="24"/>
          <w:szCs w:val="24"/>
        </w:rPr>
      </w:pPr>
    </w:p>
    <w:p w:rsidR="002D5928" w:rsidRPr="009D0E26" w:rsidRDefault="002D5928" w:rsidP="009D0E26">
      <w:pPr>
        <w:spacing w:line="480" w:lineRule="auto"/>
        <w:jc w:val="both"/>
        <w:rPr>
          <w:rFonts w:ascii="Times New Roman" w:hAnsi="Times New Roman" w:cs="Times New Roman"/>
          <w:sz w:val="24"/>
          <w:szCs w:val="24"/>
        </w:rPr>
      </w:pPr>
    </w:p>
    <w:p w:rsidR="002D5928" w:rsidRPr="009D0E26" w:rsidRDefault="002D5928" w:rsidP="009D0E26">
      <w:pPr>
        <w:spacing w:line="480" w:lineRule="auto"/>
        <w:jc w:val="both"/>
        <w:rPr>
          <w:rFonts w:ascii="Times New Roman" w:hAnsi="Times New Roman" w:cs="Times New Roman"/>
          <w:sz w:val="24"/>
          <w:szCs w:val="24"/>
        </w:rPr>
      </w:pPr>
    </w:p>
    <w:p w:rsidR="002D5928" w:rsidRPr="009D0E26" w:rsidRDefault="002D5928" w:rsidP="009D0E26">
      <w:pPr>
        <w:spacing w:line="480" w:lineRule="auto"/>
        <w:jc w:val="both"/>
        <w:rPr>
          <w:rFonts w:ascii="Times New Roman" w:hAnsi="Times New Roman" w:cs="Times New Roman"/>
          <w:sz w:val="24"/>
          <w:szCs w:val="24"/>
        </w:rPr>
      </w:pPr>
    </w:p>
    <w:p w:rsidR="002D5928" w:rsidRPr="009D0E26" w:rsidRDefault="002D5928" w:rsidP="009D0E26">
      <w:pPr>
        <w:spacing w:line="480" w:lineRule="auto"/>
        <w:jc w:val="both"/>
        <w:rPr>
          <w:rFonts w:ascii="Times New Roman" w:hAnsi="Times New Roman" w:cs="Times New Roman"/>
          <w:sz w:val="24"/>
          <w:szCs w:val="24"/>
        </w:rPr>
      </w:pPr>
    </w:p>
    <w:p w:rsidR="002D5928" w:rsidRPr="009D0E26" w:rsidRDefault="002D5928" w:rsidP="009D0E26">
      <w:pPr>
        <w:spacing w:line="480" w:lineRule="auto"/>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lang w:val="en-ZA"/>
        </w:rPr>
        <w:id w:val="-1450473028"/>
        <w:docPartObj>
          <w:docPartGallery w:val="Table of Contents"/>
          <w:docPartUnique/>
        </w:docPartObj>
      </w:sdtPr>
      <w:sdtEndPr>
        <w:rPr>
          <w:bCs/>
          <w:noProof/>
          <w:lang w:val="en-US"/>
        </w:rPr>
      </w:sdtEndPr>
      <w:sdtContent>
        <w:p w:rsidR="002D5928" w:rsidRPr="009D0E26" w:rsidRDefault="002D5928" w:rsidP="009D0E26">
          <w:pPr>
            <w:pStyle w:val="TOCHeading"/>
            <w:spacing w:line="480" w:lineRule="auto"/>
            <w:jc w:val="both"/>
            <w:rPr>
              <w:rFonts w:ascii="Times New Roman" w:hAnsi="Times New Roman" w:cs="Times New Roman"/>
              <w:sz w:val="24"/>
              <w:szCs w:val="24"/>
            </w:rPr>
          </w:pPr>
          <w:r w:rsidRPr="009D0E26">
            <w:rPr>
              <w:rFonts w:ascii="Times New Roman" w:hAnsi="Times New Roman" w:cs="Times New Roman"/>
              <w:color w:val="auto"/>
              <w:sz w:val="24"/>
              <w:szCs w:val="24"/>
            </w:rPr>
            <w:t>Table of Contents</w:t>
          </w:r>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r w:rsidRPr="009D0E26">
            <w:rPr>
              <w:rFonts w:ascii="Times New Roman" w:hAnsi="Times New Roman" w:cs="Times New Roman"/>
              <w:bCs/>
              <w:noProof/>
              <w:sz w:val="24"/>
              <w:szCs w:val="24"/>
              <w:lang w:val="en-ZA"/>
            </w:rPr>
            <w:fldChar w:fldCharType="begin"/>
          </w:r>
          <w:r w:rsidR="002D5928" w:rsidRPr="009D0E26">
            <w:rPr>
              <w:rFonts w:ascii="Times New Roman" w:hAnsi="Times New Roman" w:cs="Times New Roman"/>
              <w:bCs/>
              <w:noProof/>
              <w:sz w:val="24"/>
              <w:szCs w:val="24"/>
            </w:rPr>
            <w:instrText xml:space="preserve"> TOC \o "1-3" \h \z \u </w:instrText>
          </w:r>
          <w:r w:rsidRPr="009D0E26">
            <w:rPr>
              <w:rFonts w:ascii="Times New Roman" w:hAnsi="Times New Roman" w:cs="Times New Roman"/>
              <w:bCs/>
              <w:noProof/>
              <w:sz w:val="24"/>
              <w:szCs w:val="24"/>
              <w:lang w:val="en-ZA"/>
            </w:rPr>
            <w:fldChar w:fldCharType="separate"/>
          </w:r>
          <w:hyperlink w:anchor="_Toc531978461" w:history="1">
            <w:r w:rsidR="001B1FC9" w:rsidRPr="009D0E26">
              <w:rPr>
                <w:rStyle w:val="Hyperlink"/>
                <w:rFonts w:ascii="Times New Roman" w:hAnsi="Times New Roman" w:cs="Times New Roman"/>
                <w:noProof/>
                <w:sz w:val="24"/>
                <w:szCs w:val="24"/>
              </w:rPr>
              <w:t>Executive summary</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_Toc531978461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2</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62" w:history="1">
            <w:r w:rsidR="001B1FC9" w:rsidRPr="009D0E26">
              <w:rPr>
                <w:rStyle w:val="Hyperlink"/>
                <w:rFonts w:ascii="Times New Roman" w:hAnsi="Times New Roman" w:cs="Times New Roman"/>
                <w:noProof/>
                <w:sz w:val="24"/>
                <w:szCs w:val="24"/>
              </w:rPr>
              <w:t>1.0 Introduction</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_Toc531978462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4</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63" w:history="1">
            <w:r w:rsidR="001B1FC9" w:rsidRPr="009D0E26">
              <w:rPr>
                <w:rStyle w:val="Hyperlink"/>
                <w:rFonts w:ascii="Times New Roman" w:hAnsi="Times New Roman" w:cs="Times New Roman"/>
                <w:noProof/>
                <w:sz w:val="24"/>
                <w:szCs w:val="24"/>
              </w:rPr>
              <w:t>2.0 Methodology and design</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_Toc531978463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4</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64" w:history="1">
            <w:r w:rsidR="001B1FC9" w:rsidRPr="009D0E26">
              <w:rPr>
                <w:rStyle w:val="Hyperlink"/>
                <w:rFonts w:ascii="Times New Roman" w:hAnsi="Times New Roman" w:cs="Times New Roman"/>
                <w:noProof/>
                <w:sz w:val="24"/>
                <w:szCs w:val="24"/>
              </w:rPr>
              <w:t>3.0 Garcetti v. Superior Court facts and opinions</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_Toc531978464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4</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65" w:history="1">
            <w:r w:rsidR="001B1FC9" w:rsidRPr="009D0E26">
              <w:rPr>
                <w:rStyle w:val="Hyperlink"/>
                <w:rFonts w:ascii="Times New Roman" w:hAnsi="Times New Roman" w:cs="Times New Roman"/>
                <w:noProof/>
                <w:sz w:val="24"/>
                <w:szCs w:val="24"/>
              </w:rPr>
              <w:t>1 Facts of the case</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_Toc531978465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4</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66" w:history="1">
            <w:r w:rsidR="001B1FC9" w:rsidRPr="009D0E26">
              <w:rPr>
                <w:rStyle w:val="Hyperlink"/>
                <w:rFonts w:ascii="Times New Roman" w:hAnsi="Times New Roman" w:cs="Times New Roman"/>
                <w:noProof/>
                <w:sz w:val="24"/>
                <w:szCs w:val="24"/>
              </w:rPr>
              <w:t>2. Forensic Psychology or Scientific Issue Presented</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_Toc531978466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4</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67" w:history="1">
            <w:r w:rsidR="001B1FC9" w:rsidRPr="009D0E26">
              <w:rPr>
                <w:rStyle w:val="Hyperlink"/>
                <w:rFonts w:ascii="Times New Roman" w:hAnsi="Times New Roman" w:cs="Times New Roman"/>
                <w:noProof/>
                <w:sz w:val="24"/>
                <w:szCs w:val="24"/>
              </w:rPr>
              <w:t>3. Literature review</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_Toc531978467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5</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68" w:history="1">
            <w:r w:rsidR="001B1FC9" w:rsidRPr="009D0E26">
              <w:rPr>
                <w:rStyle w:val="Hyperlink"/>
                <w:rFonts w:ascii="Times New Roman" w:hAnsi="Times New Roman" w:cs="Times New Roman"/>
                <w:noProof/>
                <w:sz w:val="24"/>
                <w:szCs w:val="24"/>
              </w:rPr>
              <w:t>4. Court decision</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_Toc531978468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6</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69" w:history="1">
            <w:r w:rsidR="001B1FC9" w:rsidRPr="009D0E26">
              <w:rPr>
                <w:rStyle w:val="Hyperlink"/>
                <w:rFonts w:ascii="Times New Roman" w:hAnsi="Times New Roman" w:cs="Times New Roman"/>
                <w:noProof/>
                <w:sz w:val="24"/>
                <w:szCs w:val="24"/>
              </w:rPr>
              <w:t>5. Rule of law</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_Toc531978469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6</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70" w:history="1">
            <w:r w:rsidR="001B1FC9" w:rsidRPr="009D0E26">
              <w:rPr>
                <w:rStyle w:val="Hyperlink"/>
                <w:rFonts w:ascii="Times New Roman" w:hAnsi="Times New Roman" w:cs="Times New Roman"/>
                <w:noProof/>
                <w:sz w:val="24"/>
                <w:szCs w:val="24"/>
              </w:rPr>
              <w:t>6. Reasoning</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_Toc531978470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6</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71" w:history="1">
            <w:r w:rsidR="001B1FC9" w:rsidRPr="009D0E26">
              <w:rPr>
                <w:rStyle w:val="Hyperlink"/>
                <w:rFonts w:ascii="Times New Roman" w:hAnsi="Times New Roman" w:cs="Times New Roman"/>
                <w:noProof/>
                <w:sz w:val="24"/>
                <w:szCs w:val="24"/>
              </w:rPr>
              <w:t>Conclusion</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_Toc531978471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7</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72" w:history="1">
            <w:r w:rsidR="001B1FC9" w:rsidRPr="009D0E26">
              <w:rPr>
                <w:rStyle w:val="Hyperlink"/>
                <w:rFonts w:ascii="Times New Roman" w:hAnsi="Times New Roman" w:cs="Times New Roman"/>
                <w:noProof/>
                <w:sz w:val="24"/>
                <w:szCs w:val="24"/>
              </w:rPr>
              <w:t>Recommendations</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_Toc531978472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7</w:t>
            </w:r>
            <w:r w:rsidRPr="009D0E26">
              <w:rPr>
                <w:rFonts w:ascii="Times New Roman" w:hAnsi="Times New Roman" w:cs="Times New Roman"/>
                <w:noProof/>
                <w:webHidden/>
                <w:sz w:val="24"/>
                <w:szCs w:val="24"/>
              </w:rPr>
              <w:fldChar w:fldCharType="end"/>
            </w:r>
          </w:hyperlink>
        </w:p>
        <w:p w:rsidR="001B1FC9" w:rsidRPr="009D0E26" w:rsidRDefault="00ED792B" w:rsidP="009D0E26">
          <w:pPr>
            <w:pStyle w:val="TOC3"/>
            <w:tabs>
              <w:tab w:val="right" w:leader="dot" w:pos="9350"/>
            </w:tabs>
            <w:spacing w:line="480" w:lineRule="auto"/>
            <w:jc w:val="both"/>
            <w:rPr>
              <w:rFonts w:ascii="Times New Roman" w:hAnsi="Times New Roman" w:cs="Times New Roman"/>
              <w:noProof/>
              <w:sz w:val="24"/>
              <w:szCs w:val="24"/>
            </w:rPr>
          </w:pPr>
          <w:hyperlink w:anchor="_Toc531978473" w:history="1">
            <w:r w:rsidR="001B1FC9" w:rsidRPr="009D0E26">
              <w:rPr>
                <w:rStyle w:val="Hyperlink"/>
                <w:rFonts w:ascii="Times New Roman" w:hAnsi="Times New Roman" w:cs="Times New Roman"/>
                <w:noProof/>
                <w:sz w:val="24"/>
                <w:szCs w:val="24"/>
              </w:rPr>
              <w:t>Reference:</w:t>
            </w:r>
            <w:r w:rsidR="001B1FC9" w:rsidRPr="009D0E26">
              <w:rPr>
                <w:rFonts w:ascii="Times New Roman" w:hAnsi="Times New Roman" w:cs="Times New Roman"/>
                <w:noProof/>
                <w:webHidden/>
                <w:sz w:val="24"/>
                <w:szCs w:val="24"/>
              </w:rPr>
              <w:tab/>
            </w:r>
            <w:r w:rsidRPr="009D0E26">
              <w:rPr>
                <w:rFonts w:ascii="Times New Roman" w:hAnsi="Times New Roman" w:cs="Times New Roman"/>
                <w:noProof/>
                <w:webHidden/>
                <w:sz w:val="24"/>
                <w:szCs w:val="24"/>
              </w:rPr>
              <w:fldChar w:fldCharType="begin"/>
            </w:r>
            <w:r w:rsidR="001B1FC9" w:rsidRPr="009D0E26">
              <w:rPr>
                <w:rFonts w:ascii="Times New Roman" w:hAnsi="Times New Roman" w:cs="Times New Roman"/>
                <w:noProof/>
                <w:webHidden/>
                <w:sz w:val="24"/>
                <w:szCs w:val="24"/>
              </w:rPr>
              <w:instrText xml:space="preserve"> PAGEREF _Toc531978473 \h </w:instrText>
            </w:r>
            <w:r w:rsidRPr="009D0E26">
              <w:rPr>
                <w:rFonts w:ascii="Times New Roman" w:hAnsi="Times New Roman" w:cs="Times New Roman"/>
                <w:noProof/>
                <w:webHidden/>
                <w:sz w:val="24"/>
                <w:szCs w:val="24"/>
              </w:rPr>
            </w:r>
            <w:r w:rsidRPr="009D0E26">
              <w:rPr>
                <w:rFonts w:ascii="Times New Roman" w:hAnsi="Times New Roman" w:cs="Times New Roman"/>
                <w:noProof/>
                <w:webHidden/>
                <w:sz w:val="24"/>
                <w:szCs w:val="24"/>
              </w:rPr>
              <w:fldChar w:fldCharType="separate"/>
            </w:r>
            <w:r w:rsidR="001B1FC9" w:rsidRPr="009D0E26">
              <w:rPr>
                <w:rFonts w:ascii="Times New Roman" w:hAnsi="Times New Roman" w:cs="Times New Roman"/>
                <w:noProof/>
                <w:webHidden/>
                <w:sz w:val="24"/>
                <w:szCs w:val="24"/>
              </w:rPr>
              <w:t>8</w:t>
            </w:r>
            <w:r w:rsidRPr="009D0E26">
              <w:rPr>
                <w:rFonts w:ascii="Times New Roman" w:hAnsi="Times New Roman" w:cs="Times New Roman"/>
                <w:noProof/>
                <w:webHidden/>
                <w:sz w:val="24"/>
                <w:szCs w:val="24"/>
              </w:rPr>
              <w:fldChar w:fldCharType="end"/>
            </w:r>
          </w:hyperlink>
        </w:p>
        <w:p w:rsidR="002D5928" w:rsidRPr="009D0E26" w:rsidRDefault="00ED792B" w:rsidP="009D0E26">
          <w:pPr>
            <w:spacing w:after="160" w:line="480" w:lineRule="auto"/>
            <w:jc w:val="both"/>
            <w:rPr>
              <w:rFonts w:ascii="Times New Roman" w:hAnsi="Times New Roman" w:cs="Times New Roman"/>
              <w:bCs/>
              <w:noProof/>
              <w:sz w:val="24"/>
              <w:szCs w:val="24"/>
            </w:rPr>
          </w:pPr>
          <w:r w:rsidRPr="009D0E26">
            <w:rPr>
              <w:rFonts w:ascii="Times New Roman" w:hAnsi="Times New Roman" w:cs="Times New Roman"/>
              <w:bCs/>
              <w:noProof/>
              <w:sz w:val="24"/>
              <w:szCs w:val="24"/>
            </w:rPr>
            <w:fldChar w:fldCharType="end"/>
          </w:r>
        </w:p>
      </w:sdtContent>
    </w:sdt>
    <w:p w:rsidR="002D5928" w:rsidRPr="009D0E26" w:rsidRDefault="002D5928" w:rsidP="009D0E26">
      <w:pPr>
        <w:spacing w:line="480" w:lineRule="auto"/>
        <w:jc w:val="both"/>
        <w:rPr>
          <w:rFonts w:ascii="Times New Roman" w:hAnsi="Times New Roman" w:cs="Times New Roman"/>
          <w:sz w:val="24"/>
          <w:szCs w:val="24"/>
        </w:rPr>
      </w:pPr>
    </w:p>
    <w:p w:rsidR="002D5928" w:rsidRPr="009D0E26" w:rsidRDefault="002D5928" w:rsidP="009D0E26">
      <w:pPr>
        <w:spacing w:line="480" w:lineRule="auto"/>
        <w:jc w:val="both"/>
        <w:rPr>
          <w:rFonts w:ascii="Times New Roman" w:hAnsi="Times New Roman" w:cs="Times New Roman"/>
          <w:sz w:val="24"/>
          <w:szCs w:val="24"/>
        </w:rPr>
      </w:pPr>
    </w:p>
    <w:p w:rsidR="002D5928" w:rsidRPr="009D0E26" w:rsidRDefault="002D5928" w:rsidP="009D0E26">
      <w:pPr>
        <w:spacing w:line="480" w:lineRule="auto"/>
        <w:jc w:val="both"/>
        <w:rPr>
          <w:rFonts w:ascii="Times New Roman" w:hAnsi="Times New Roman" w:cs="Times New Roman"/>
          <w:sz w:val="24"/>
          <w:szCs w:val="24"/>
        </w:rPr>
      </w:pPr>
    </w:p>
    <w:p w:rsidR="009D0E26" w:rsidRPr="009D0E26" w:rsidRDefault="009D0E26" w:rsidP="009D0E26">
      <w:pPr>
        <w:pStyle w:val="Heading3"/>
        <w:spacing w:line="480" w:lineRule="auto"/>
        <w:jc w:val="both"/>
        <w:rPr>
          <w:rFonts w:ascii="Times New Roman" w:hAnsi="Times New Roman" w:cs="Times New Roman"/>
          <w:color w:val="auto"/>
          <w:sz w:val="24"/>
          <w:szCs w:val="24"/>
        </w:rPr>
      </w:pPr>
      <w:bookmarkStart w:id="1" w:name="_Toc531978462"/>
      <w:bookmarkStart w:id="2" w:name="_Toc531978461"/>
      <w:r w:rsidRPr="009D0E26">
        <w:rPr>
          <w:rFonts w:ascii="Times New Roman" w:hAnsi="Times New Roman" w:cs="Times New Roman"/>
          <w:color w:val="auto"/>
          <w:sz w:val="24"/>
          <w:szCs w:val="24"/>
        </w:rPr>
        <w:t>Executive summary</w:t>
      </w:r>
      <w:bookmarkEnd w:id="2"/>
    </w:p>
    <w:p w:rsidR="009D0E26" w:rsidRPr="009D0E26" w:rsidRDefault="009D0E26" w:rsidP="009D0E26">
      <w:p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The Supreme Court made its position by ruling that remarks made by government workers as part of certified responsibilities aren’t protected based on the First Amendment; for that reason, the court does not cover such workers from being punished by their superiors.  The main concern was if a Ceballos, prosecutor, was to be protected from suspected retaliation due to his remarks that caused it, endorsing that an illegal case be terminated, was covered remark based on under the First Amendment.</w:t>
      </w:r>
    </w:p>
    <w:p w:rsidR="002D5928" w:rsidRPr="009D0E26" w:rsidRDefault="002D5928" w:rsidP="009D0E26">
      <w:pPr>
        <w:pStyle w:val="Heading3"/>
        <w:spacing w:line="480" w:lineRule="auto"/>
        <w:jc w:val="both"/>
        <w:rPr>
          <w:rFonts w:ascii="Times New Roman" w:hAnsi="Times New Roman" w:cs="Times New Roman"/>
          <w:color w:val="auto"/>
          <w:sz w:val="24"/>
          <w:szCs w:val="24"/>
        </w:rPr>
      </w:pPr>
      <w:r w:rsidRPr="009D0E26">
        <w:rPr>
          <w:rFonts w:ascii="Times New Roman" w:hAnsi="Times New Roman" w:cs="Times New Roman"/>
          <w:color w:val="auto"/>
          <w:sz w:val="24"/>
          <w:szCs w:val="24"/>
        </w:rPr>
        <w:t>1.0 Introduction</w:t>
      </w:r>
      <w:bookmarkEnd w:id="1"/>
    </w:p>
    <w:p w:rsidR="002D5928" w:rsidRPr="009D0E26" w:rsidRDefault="002D5928" w:rsidP="009D0E26">
      <w:p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Government employees are always in the spotlight in case they commit any slight offense, this is because of the offices entrusted to them, for example, judicial offices.  For that reason, their performance is not only evaluated by their senior but by the entire public. They need to have a clear mind on every remark they make, particularly, those going public. In all court proceedings, government officials, including the prosecutor are normally watched in all of their remarks, either official or not, which makes Ceballos case not exceptional from public scrutiny (Smith, 2011).</w:t>
      </w:r>
    </w:p>
    <w:p w:rsidR="002D5928" w:rsidRPr="009D0E26" w:rsidRDefault="001B1FC9" w:rsidP="009D0E26">
      <w:pPr>
        <w:pStyle w:val="Heading3"/>
        <w:spacing w:line="480" w:lineRule="auto"/>
        <w:jc w:val="both"/>
        <w:rPr>
          <w:rFonts w:ascii="Times New Roman" w:hAnsi="Times New Roman" w:cs="Times New Roman"/>
          <w:color w:val="auto"/>
          <w:sz w:val="24"/>
          <w:szCs w:val="24"/>
        </w:rPr>
      </w:pPr>
      <w:bookmarkStart w:id="3" w:name="_Toc531978463"/>
      <w:r w:rsidRPr="009D0E26">
        <w:rPr>
          <w:rFonts w:ascii="Times New Roman" w:hAnsi="Times New Roman" w:cs="Times New Roman"/>
          <w:color w:val="auto"/>
          <w:sz w:val="24"/>
          <w:szCs w:val="24"/>
        </w:rPr>
        <w:t xml:space="preserve">2.0 </w:t>
      </w:r>
      <w:r w:rsidR="002D5928" w:rsidRPr="009D0E26">
        <w:rPr>
          <w:rFonts w:ascii="Times New Roman" w:hAnsi="Times New Roman" w:cs="Times New Roman"/>
          <w:color w:val="auto"/>
          <w:sz w:val="24"/>
          <w:szCs w:val="24"/>
        </w:rPr>
        <w:t>Methodology and design</w:t>
      </w:r>
      <w:bookmarkEnd w:id="3"/>
    </w:p>
    <w:p w:rsidR="002D5928" w:rsidRPr="009D0E26" w:rsidRDefault="002D5928" w:rsidP="009D0E26">
      <w:p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The matter concerns, speech made by a government employee concerning a case. To establish all relevant data, the paper conducted a literature search on the case.  All materials relevant to the case were assembled for the course; they were carefully selected to fit the requirements in the case.</w:t>
      </w:r>
    </w:p>
    <w:p w:rsidR="001B1FC9" w:rsidRPr="009D0E26" w:rsidRDefault="001B1FC9" w:rsidP="009D0E26">
      <w:pPr>
        <w:pStyle w:val="Heading3"/>
        <w:spacing w:line="480" w:lineRule="auto"/>
        <w:jc w:val="both"/>
        <w:rPr>
          <w:rFonts w:ascii="Times New Roman" w:hAnsi="Times New Roman" w:cs="Times New Roman"/>
          <w:color w:val="auto"/>
          <w:sz w:val="24"/>
          <w:szCs w:val="24"/>
        </w:rPr>
      </w:pPr>
      <w:bookmarkStart w:id="4" w:name="_Toc531978464"/>
      <w:r w:rsidRPr="009D0E26">
        <w:rPr>
          <w:rFonts w:ascii="Times New Roman" w:hAnsi="Times New Roman" w:cs="Times New Roman"/>
          <w:color w:val="auto"/>
          <w:sz w:val="24"/>
          <w:szCs w:val="24"/>
        </w:rPr>
        <w:t>3.0 Garcetti v. Superior Court facts and opinions</w:t>
      </w:r>
      <w:bookmarkEnd w:id="4"/>
    </w:p>
    <w:p w:rsidR="002D5928" w:rsidRPr="009D0E26" w:rsidRDefault="002D5928" w:rsidP="009D0E26">
      <w:pPr>
        <w:pStyle w:val="Heading3"/>
        <w:spacing w:line="480" w:lineRule="auto"/>
        <w:jc w:val="both"/>
        <w:rPr>
          <w:rFonts w:ascii="Times New Roman" w:hAnsi="Times New Roman" w:cs="Times New Roman"/>
          <w:color w:val="auto"/>
          <w:sz w:val="24"/>
          <w:szCs w:val="24"/>
        </w:rPr>
      </w:pPr>
      <w:bookmarkStart w:id="5" w:name="_Toc531978465"/>
      <w:r w:rsidRPr="009D0E26">
        <w:rPr>
          <w:rFonts w:ascii="Times New Roman" w:hAnsi="Times New Roman" w:cs="Times New Roman"/>
          <w:color w:val="auto"/>
          <w:sz w:val="24"/>
          <w:szCs w:val="24"/>
        </w:rPr>
        <w:t>1 Facts of the case</w:t>
      </w:r>
      <w:bookmarkEnd w:id="5"/>
    </w:p>
    <w:p w:rsidR="002D5928" w:rsidRPr="009D0E26" w:rsidRDefault="002D5928" w:rsidP="009D0E26">
      <w:p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The respondent who happens to be Ceballos (supervising deputy district attorney), got tasked by the counsel of the plaintiff to evaluate a case that plaintiff counsel asserted that the affidavit used by the police force to get a serious warrant of search against the suspect was erroneous. After evaluating the claim put forward by the plaintiff counsel, he concluded that the affidavit in question contained a number of severe misrepresentations. The supervising deputy district attorney, Ceballos, communicated his conclusions to the superiors, who happen to be the petitioners, and then trailed with a temper memo endorsing dismissal (Smith, 2011). However, the petitioners continued with the trial. During the based on the plaintiff counsel’s motion challenging the search permit, Ceballos narrated his opinions concerning the document in question; nevertheless, the law court overruled this encounter. With assertions that petitioners had reacted contrary to his memorandum in desecration what is referred to as the First and Fourteenth Amendments. At that point, the District Law court approved the petitioners with a summary ruling that the drafted memorandum wasn’t a protected or covered speech since Ceballos drafted it based on his responsibilities of employment. Withdrawing, the 9th Circuit claimed that the said allegations in the memorandum were covered/protected based on the analysis of First Amendment ("FindLaw's the United States Supreme Court case and opinions.", 2018).</w:t>
      </w:r>
    </w:p>
    <w:p w:rsidR="002D5928" w:rsidRPr="009D0E26" w:rsidRDefault="002D5928" w:rsidP="009D0E26">
      <w:pPr>
        <w:pStyle w:val="Heading3"/>
        <w:spacing w:line="480" w:lineRule="auto"/>
        <w:jc w:val="both"/>
        <w:rPr>
          <w:rFonts w:ascii="Times New Roman" w:hAnsi="Times New Roman" w:cs="Times New Roman"/>
          <w:color w:val="auto"/>
          <w:sz w:val="24"/>
          <w:szCs w:val="24"/>
        </w:rPr>
      </w:pPr>
      <w:bookmarkStart w:id="6" w:name="_Toc531978466"/>
      <w:r w:rsidRPr="009D0E26">
        <w:rPr>
          <w:rFonts w:ascii="Times New Roman" w:hAnsi="Times New Roman" w:cs="Times New Roman"/>
          <w:color w:val="auto"/>
          <w:sz w:val="24"/>
          <w:szCs w:val="24"/>
        </w:rPr>
        <w:t>2. Forensic Psychology or Scientific Issue Presented</w:t>
      </w:r>
      <w:bookmarkEnd w:id="6"/>
    </w:p>
    <w:p w:rsidR="002D5928" w:rsidRPr="009D0E26" w:rsidRDefault="002D5928" w:rsidP="009D0E26">
      <w:p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 xml:space="preserve"> At this point, the two leading investigations guide clarification concerning the protections of the constitutions rendered by public worker speech came up. (i). when putting across the remarks, did Ceballos speak as a citizen on issues concerning the public? In the event that the response turns out to be no, the government worker enjoys no First Amendment reason to act as found on the boss’s response to the remarks. On the other hand, in the event that the response turns out to be yes, the likelihood of a First Amendment privilege ascends. Therefore, another question comes up again, (ii). Does an administration boss have a satisfactory defense for handling the worker otherwise from a different associate of the common public? The contemplation above reproduces the significance of the connection amid the remarks of the speaker and service (Gamreklidze, 2015). Deprived of an important level of regulation on the words of its workers together with their actions, an administration boss was likely to contain less opportunity to offer public amenities competently. For that reason, an administration unit contains a wider option to limit communication/speech when functioning the role of employer r, however, the limitations it executes need to be focused at certain remarks that containing possible impact to its function.  Conversely, a civilian or citizen working for the ruling administration is, however, a citizen as well</w:t>
      </w:r>
      <w:r w:rsidR="001B1FC9" w:rsidRPr="009D0E26">
        <w:rPr>
          <w:rFonts w:ascii="Times New Roman" w:hAnsi="Times New Roman" w:cs="Times New Roman"/>
          <w:sz w:val="24"/>
          <w:szCs w:val="24"/>
        </w:rPr>
        <w:t xml:space="preserve"> ("FindLaw's the United States Supreme Court case and opinions.", 2018).</w:t>
      </w:r>
      <w:r w:rsidRPr="009D0E26">
        <w:rPr>
          <w:rFonts w:ascii="Times New Roman" w:hAnsi="Times New Roman" w:cs="Times New Roman"/>
          <w:sz w:val="24"/>
          <w:szCs w:val="24"/>
        </w:rPr>
        <w:t xml:space="preserve">. The First Amendment is very clear, it limits the ability of the government employer to influence the service association to limit, parenthetically or deliberately, the rights workers appreciate within their capabilities as private people. Provided that the staffs are making remarks as civilians on issues concerning the interest of the public, there is the need for them to face simply those communication limits provide by their bosses to function competently and efficiently. (iii). Does the First Amendment exclude punishment on government employee concerning their remarks made pursuant to authorized duties?  The memorandum written by Ceballos can be put in this category; his claims of unauthorized vengeance need to fail. At this point, a dispositive issue isn’t about Ceballos expressions concerning his opinions within his workplace, instead of openly, nor that the memorandum involved the issue of concern of his service. Relatively, the regulatory aspect is that the remarks put forward by Ceballos were made pursuant to his employment duties (Gamreklidze, 2015). That reflection differentiates this scenario from any other in which the First Amendment offers discipline protection. He drafted his memo of disposition due to the fact that a section of it entails his duties in the office. Ceballos did not work as any other civilian by drafting the memo. Basing on the fact that at a time, Ceballos responsibilities needed him to make remarks or write doesn’t imply that his superiors were banned from assessing his performance. A speech limitation owing its being to a duty of the government employee does not overstep any rights the worker may be enjoyed as a citizen (private). Basically, it replicates the process of boss management over regulations set by the employer. The outcome is reliable with the prior stress by the court on any possible social significance of worker remarks or speech plus on meet the expense of the public employer’s adequate pleasure to control individual functions. He gave contradicting rule, accepted through the Ninth Circuit, and would require both the state and federal law courts to a novel, enduring, and intrusive responsibility, authorizing court omission of remarks amid together with public workers and their bosses in their line of duty (Patel, 2017). The mentioned displacement of administrative discretion through a court management does not find provision within the precedents of the Court. The principle irregularity the alleged by the Court of Appeals in persuasive government employers to stand for some workers remark made openly but not remarks that are pursuantly made by employees based on the duties assigned to him (Siegel, 1993). </w:t>
      </w:r>
    </w:p>
    <w:p w:rsidR="002D5928" w:rsidRPr="009D0E26" w:rsidRDefault="002D5928" w:rsidP="009D0E26">
      <w:pPr>
        <w:pStyle w:val="Heading3"/>
        <w:spacing w:line="480" w:lineRule="auto"/>
        <w:jc w:val="both"/>
        <w:rPr>
          <w:rFonts w:ascii="Times New Roman" w:hAnsi="Times New Roman" w:cs="Times New Roman"/>
          <w:color w:val="auto"/>
          <w:sz w:val="24"/>
          <w:szCs w:val="24"/>
        </w:rPr>
      </w:pPr>
      <w:bookmarkStart w:id="7" w:name="_Toc531978467"/>
      <w:r w:rsidRPr="009D0E26">
        <w:rPr>
          <w:rFonts w:ascii="Times New Roman" w:hAnsi="Times New Roman" w:cs="Times New Roman"/>
          <w:color w:val="auto"/>
          <w:sz w:val="24"/>
          <w:szCs w:val="24"/>
        </w:rPr>
        <w:t>3. Literature review</w:t>
      </w:r>
      <w:bookmarkEnd w:id="7"/>
    </w:p>
    <w:p w:rsidR="002D5928" w:rsidRPr="009D0E26" w:rsidRDefault="002D5928" w:rsidP="009D0E26">
      <w:p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All eyes look at the government in case of any mess, particularly in judiciary, therefore, divulging administrative incompetence and wrongdoing is an issue of substantial implication, and numerous actions and lately have been embraced as a way of protecting workers and offer checks on administrators that might order illegitimate or else unsuitable movements (Patel, 2017). Such comprise the federal and state tattletale defense laws and codes of labor and, for public lawyers, the conduct rules and legitimate duties in addition to the First Amendment. Though, the precedents of the law court do not provide for the existence of a lawful cause of action on all declaration a government worker makes in the process of doing his duty (Siegel, 1993).</w:t>
      </w:r>
    </w:p>
    <w:p w:rsidR="002D5928" w:rsidRPr="009D0E26" w:rsidRDefault="002D5928" w:rsidP="009D0E26">
      <w:pPr>
        <w:pStyle w:val="Heading3"/>
        <w:spacing w:line="480" w:lineRule="auto"/>
        <w:jc w:val="both"/>
        <w:rPr>
          <w:rFonts w:ascii="Times New Roman" w:hAnsi="Times New Roman" w:cs="Times New Roman"/>
          <w:color w:val="auto"/>
          <w:sz w:val="24"/>
          <w:szCs w:val="24"/>
        </w:rPr>
      </w:pPr>
      <w:bookmarkStart w:id="8" w:name="_Toc531978468"/>
      <w:r w:rsidRPr="009D0E26">
        <w:rPr>
          <w:rFonts w:ascii="Times New Roman" w:hAnsi="Times New Roman" w:cs="Times New Roman"/>
          <w:color w:val="auto"/>
          <w:sz w:val="24"/>
          <w:szCs w:val="24"/>
        </w:rPr>
        <w:t>4. Court decision</w:t>
      </w:r>
      <w:bookmarkEnd w:id="8"/>
    </w:p>
    <w:p w:rsidR="002D5928" w:rsidRPr="009D0E26" w:rsidRDefault="002D5928" w:rsidP="009D0E26">
      <w:p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Once government worker makes remarks/speak within their process of performing their duties, obligatory service responsibilities, they are considered to comprise no subjective concern in the content of that remark that provides rise to a First Amendment right. Therefore, the court ruled that unopposed doctrine was that a government worker had no constitutional obligation to object to settings put on the employment terms, together with the limited the exercise of leg</w:t>
      </w:r>
      <w:r w:rsidR="001B1FC9" w:rsidRPr="009D0E26">
        <w:rPr>
          <w:rFonts w:ascii="Times New Roman" w:hAnsi="Times New Roman" w:cs="Times New Roman"/>
          <w:sz w:val="24"/>
          <w:szCs w:val="24"/>
        </w:rPr>
        <w:t>itimate rights (Hayford, 1985).</w:t>
      </w:r>
    </w:p>
    <w:p w:rsidR="002D5928" w:rsidRPr="009D0E26" w:rsidRDefault="002D5928" w:rsidP="009D0E26">
      <w:pPr>
        <w:pStyle w:val="Heading3"/>
        <w:spacing w:line="480" w:lineRule="auto"/>
        <w:jc w:val="both"/>
        <w:rPr>
          <w:rFonts w:ascii="Times New Roman" w:hAnsi="Times New Roman" w:cs="Times New Roman"/>
          <w:color w:val="auto"/>
          <w:sz w:val="24"/>
          <w:szCs w:val="24"/>
        </w:rPr>
      </w:pPr>
      <w:bookmarkStart w:id="9" w:name="_Toc531978469"/>
      <w:r w:rsidRPr="009D0E26">
        <w:rPr>
          <w:rFonts w:ascii="Times New Roman" w:hAnsi="Times New Roman" w:cs="Times New Roman"/>
          <w:color w:val="auto"/>
          <w:sz w:val="24"/>
          <w:szCs w:val="24"/>
        </w:rPr>
        <w:t>5. Rule of law</w:t>
      </w:r>
      <w:bookmarkEnd w:id="9"/>
    </w:p>
    <w:p w:rsidR="002D5928" w:rsidRPr="009D0E26" w:rsidRDefault="002D5928" w:rsidP="009D0E26">
      <w:p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In the event that government workers make a remark pursuant to individual responsibilities, they are considered not to speak as citizens/civilian for First Amendment determinations, and the law does not protect their communications from the discipline of the employer (Gamreklidze, 2015).</w:t>
      </w:r>
    </w:p>
    <w:p w:rsidR="002D5928" w:rsidRPr="009D0E26" w:rsidRDefault="002D5928" w:rsidP="009D0E26">
      <w:pPr>
        <w:pStyle w:val="Heading3"/>
        <w:spacing w:line="480" w:lineRule="auto"/>
        <w:jc w:val="both"/>
        <w:rPr>
          <w:rFonts w:ascii="Times New Roman" w:hAnsi="Times New Roman" w:cs="Times New Roman"/>
          <w:color w:val="auto"/>
          <w:sz w:val="24"/>
          <w:szCs w:val="24"/>
        </w:rPr>
      </w:pPr>
      <w:bookmarkStart w:id="10" w:name="_Toc531978470"/>
      <w:r w:rsidRPr="009D0E26">
        <w:rPr>
          <w:rFonts w:ascii="Times New Roman" w:hAnsi="Times New Roman" w:cs="Times New Roman"/>
          <w:color w:val="auto"/>
          <w:sz w:val="24"/>
          <w:szCs w:val="24"/>
        </w:rPr>
        <w:t>6. Reasoning</w:t>
      </w:r>
      <w:bookmarkEnd w:id="10"/>
    </w:p>
    <w:p w:rsidR="001B1FC9" w:rsidRPr="009D0E26" w:rsidRDefault="002D5928" w:rsidP="009D0E26">
      <w:p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Many times, government workers take some of the most trusted positions within the society, and once they make any remark, they may speak views that might breach administrative rules or might damage the good presentation of administrative processes (Hayford, 1985). For that reason, deprived of certain control over the words and actions of employees, a public organization might not offer services competently or efficiently. Nevertheless, workers making their remarks as citizens on issues of public concern encounter simply those limitations on First Amendment privileges essential for their bosses to function competently.</w:t>
      </w:r>
    </w:p>
    <w:p w:rsidR="002D5928" w:rsidRPr="009D0E26" w:rsidRDefault="002D5928" w:rsidP="009D0E26">
      <w:pPr>
        <w:pStyle w:val="Heading3"/>
        <w:spacing w:line="480" w:lineRule="auto"/>
        <w:jc w:val="both"/>
        <w:rPr>
          <w:rFonts w:ascii="Times New Roman" w:hAnsi="Times New Roman" w:cs="Times New Roman"/>
          <w:color w:val="auto"/>
          <w:sz w:val="24"/>
          <w:szCs w:val="24"/>
        </w:rPr>
      </w:pPr>
      <w:bookmarkStart w:id="11" w:name="_Toc531978471"/>
      <w:r w:rsidRPr="009D0E26">
        <w:rPr>
          <w:rFonts w:ascii="Times New Roman" w:hAnsi="Times New Roman" w:cs="Times New Roman"/>
          <w:color w:val="auto"/>
          <w:sz w:val="24"/>
          <w:szCs w:val="24"/>
        </w:rPr>
        <w:t>Conclusion</w:t>
      </w:r>
      <w:bookmarkEnd w:id="11"/>
    </w:p>
    <w:p w:rsidR="002D5928" w:rsidRPr="009D0E26" w:rsidRDefault="002D5928" w:rsidP="009D0E26">
      <w:p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 xml:space="preserve">The government cannot afford to show any sense of incompetence; all eyes are focused on it. In the event that incompetence is proved, the public will lose confidence in its service. Particularly, matters of justice/court are much sensitive. Ceballos was likely to cost the reputation of the judiciary as a whole. The judicially/government organs have to distance themselves from the employee once they realize that the employee acted outside the jurisdiction, this is to help in protecting the reputation of specific organs of the government.  </w:t>
      </w:r>
    </w:p>
    <w:p w:rsidR="002D5928" w:rsidRPr="009D0E26" w:rsidRDefault="002D5928" w:rsidP="009D0E26">
      <w:pPr>
        <w:pStyle w:val="Heading3"/>
        <w:spacing w:line="480" w:lineRule="auto"/>
        <w:jc w:val="both"/>
        <w:rPr>
          <w:rFonts w:ascii="Times New Roman" w:hAnsi="Times New Roman" w:cs="Times New Roman"/>
          <w:color w:val="auto"/>
          <w:sz w:val="24"/>
          <w:szCs w:val="24"/>
        </w:rPr>
      </w:pPr>
      <w:bookmarkStart w:id="12" w:name="_Toc531978472"/>
      <w:r w:rsidRPr="009D0E26">
        <w:rPr>
          <w:rFonts w:ascii="Times New Roman" w:hAnsi="Times New Roman" w:cs="Times New Roman"/>
          <w:color w:val="auto"/>
          <w:sz w:val="24"/>
          <w:szCs w:val="24"/>
        </w:rPr>
        <w:t>Recommendations</w:t>
      </w:r>
      <w:bookmarkEnd w:id="12"/>
    </w:p>
    <w:p w:rsidR="002D5928" w:rsidRPr="009D0E26" w:rsidRDefault="002D5928" w:rsidP="009D0E26">
      <w:pPr>
        <w:pStyle w:val="ListParagraph"/>
        <w:numPr>
          <w:ilvl w:val="0"/>
          <w:numId w:val="1"/>
        </w:num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 xml:space="preserve">The judiciary needs to conduct regular training of its employee, just as a reminder of all sensitive matters that concern their trepidation. </w:t>
      </w:r>
    </w:p>
    <w:p w:rsidR="001B1FC9" w:rsidRPr="009D0E26" w:rsidRDefault="002D5928" w:rsidP="009D0E26">
      <w:pPr>
        <w:pStyle w:val="ListParagraph"/>
        <w:numPr>
          <w:ilvl w:val="0"/>
          <w:numId w:val="1"/>
        </w:numPr>
        <w:spacing w:line="480" w:lineRule="auto"/>
        <w:jc w:val="both"/>
        <w:rPr>
          <w:rFonts w:ascii="Times New Roman" w:hAnsi="Times New Roman" w:cs="Times New Roman"/>
          <w:sz w:val="24"/>
          <w:szCs w:val="24"/>
        </w:rPr>
      </w:pPr>
      <w:r w:rsidRPr="009D0E26">
        <w:rPr>
          <w:rFonts w:ascii="Times New Roman" w:hAnsi="Times New Roman" w:cs="Times New Roman"/>
          <w:sz w:val="24"/>
          <w:szCs w:val="24"/>
        </w:rPr>
        <w:t>There is a need for the judiciary to perform a thorough appraisal of its employees' performance to establish areas that need improvement.</w:t>
      </w:r>
    </w:p>
    <w:p w:rsidR="009D0E26" w:rsidRPr="009D0E26" w:rsidRDefault="009D0E26" w:rsidP="009D0E26">
      <w:pPr>
        <w:pStyle w:val="Heading3"/>
        <w:spacing w:line="480" w:lineRule="auto"/>
        <w:jc w:val="center"/>
        <w:rPr>
          <w:rFonts w:ascii="Times New Roman" w:hAnsi="Times New Roman" w:cs="Times New Roman"/>
          <w:color w:val="auto"/>
          <w:sz w:val="24"/>
          <w:szCs w:val="24"/>
        </w:rPr>
      </w:pPr>
      <w:bookmarkStart w:id="13" w:name="_Toc531978473"/>
    </w:p>
    <w:p w:rsidR="009D0E26" w:rsidRPr="009D0E26" w:rsidRDefault="009D0E26" w:rsidP="009D0E26">
      <w:pPr>
        <w:pStyle w:val="Heading3"/>
        <w:spacing w:line="480" w:lineRule="auto"/>
        <w:jc w:val="center"/>
        <w:rPr>
          <w:rFonts w:ascii="Times New Roman" w:hAnsi="Times New Roman" w:cs="Times New Roman"/>
          <w:color w:val="auto"/>
          <w:sz w:val="24"/>
          <w:szCs w:val="24"/>
        </w:rPr>
      </w:pPr>
    </w:p>
    <w:p w:rsidR="009D0E26" w:rsidRPr="009D0E26" w:rsidRDefault="009D0E26" w:rsidP="009D0E26">
      <w:pPr>
        <w:pStyle w:val="Heading3"/>
        <w:spacing w:line="480" w:lineRule="auto"/>
        <w:jc w:val="center"/>
        <w:rPr>
          <w:rFonts w:ascii="Times New Roman" w:hAnsi="Times New Roman" w:cs="Times New Roman"/>
          <w:color w:val="auto"/>
          <w:sz w:val="24"/>
          <w:szCs w:val="24"/>
        </w:rPr>
      </w:pPr>
    </w:p>
    <w:p w:rsidR="009D0E26" w:rsidRPr="009D0E26" w:rsidRDefault="009D0E26" w:rsidP="009D0E26">
      <w:pPr>
        <w:pStyle w:val="NoSpacing"/>
        <w:spacing w:line="480" w:lineRule="auto"/>
        <w:rPr>
          <w:rFonts w:ascii="Times New Roman" w:hAnsi="Times New Roman" w:cs="Times New Roman"/>
          <w:sz w:val="24"/>
          <w:szCs w:val="24"/>
        </w:rPr>
      </w:pPr>
    </w:p>
    <w:p w:rsidR="009D0E26" w:rsidRPr="009D0E26" w:rsidRDefault="009D0E26" w:rsidP="009D0E26">
      <w:pPr>
        <w:pStyle w:val="NoSpacing"/>
        <w:spacing w:line="480" w:lineRule="auto"/>
        <w:rPr>
          <w:rFonts w:ascii="Times New Roman" w:hAnsi="Times New Roman" w:cs="Times New Roman"/>
          <w:sz w:val="24"/>
          <w:szCs w:val="24"/>
        </w:rPr>
      </w:pPr>
    </w:p>
    <w:p w:rsidR="009D0E26" w:rsidRPr="009D0E26" w:rsidRDefault="009D0E26" w:rsidP="009D0E26">
      <w:pPr>
        <w:pStyle w:val="NoSpacing"/>
        <w:spacing w:line="480" w:lineRule="auto"/>
        <w:rPr>
          <w:rFonts w:ascii="Times New Roman" w:hAnsi="Times New Roman" w:cs="Times New Roman"/>
          <w:sz w:val="24"/>
          <w:szCs w:val="24"/>
        </w:rPr>
      </w:pPr>
    </w:p>
    <w:p w:rsidR="009D0E26" w:rsidRPr="009D0E26" w:rsidRDefault="009D0E26" w:rsidP="009D0E26">
      <w:pPr>
        <w:pStyle w:val="NoSpacing"/>
        <w:spacing w:line="480" w:lineRule="auto"/>
        <w:rPr>
          <w:rFonts w:ascii="Times New Roman" w:hAnsi="Times New Roman" w:cs="Times New Roman"/>
          <w:sz w:val="24"/>
          <w:szCs w:val="24"/>
        </w:rPr>
      </w:pPr>
    </w:p>
    <w:p w:rsidR="009D0E26" w:rsidRPr="009D0E26" w:rsidRDefault="009D0E26" w:rsidP="009D0E26">
      <w:pPr>
        <w:pStyle w:val="NoSpacing"/>
        <w:spacing w:line="480" w:lineRule="auto"/>
        <w:rPr>
          <w:rFonts w:ascii="Times New Roman" w:hAnsi="Times New Roman" w:cs="Times New Roman"/>
          <w:sz w:val="24"/>
          <w:szCs w:val="24"/>
        </w:rPr>
      </w:pPr>
    </w:p>
    <w:p w:rsidR="009D0E26" w:rsidRPr="009D0E26" w:rsidRDefault="009D0E26" w:rsidP="009D0E26">
      <w:pPr>
        <w:pStyle w:val="NoSpacing"/>
        <w:spacing w:line="480" w:lineRule="auto"/>
        <w:rPr>
          <w:rFonts w:ascii="Times New Roman" w:hAnsi="Times New Roman" w:cs="Times New Roman"/>
          <w:sz w:val="24"/>
          <w:szCs w:val="24"/>
        </w:rPr>
      </w:pPr>
    </w:p>
    <w:p w:rsidR="009D0E26" w:rsidRPr="009D0E26" w:rsidRDefault="009D0E26" w:rsidP="009D0E26">
      <w:pPr>
        <w:pStyle w:val="NoSpacing"/>
        <w:spacing w:line="480" w:lineRule="auto"/>
        <w:rPr>
          <w:rFonts w:ascii="Times New Roman" w:hAnsi="Times New Roman" w:cs="Times New Roman"/>
          <w:sz w:val="24"/>
          <w:szCs w:val="24"/>
        </w:rPr>
      </w:pPr>
    </w:p>
    <w:p w:rsidR="00C52917" w:rsidRPr="009D0E26" w:rsidRDefault="002D5928" w:rsidP="009D0E26">
      <w:pPr>
        <w:pStyle w:val="NoSpacing"/>
        <w:spacing w:line="480" w:lineRule="auto"/>
        <w:jc w:val="center"/>
        <w:rPr>
          <w:rFonts w:ascii="Times New Roman" w:hAnsi="Times New Roman" w:cs="Times New Roman"/>
          <w:sz w:val="24"/>
          <w:szCs w:val="24"/>
        </w:rPr>
      </w:pPr>
      <w:r w:rsidRPr="009D0E26">
        <w:rPr>
          <w:rFonts w:ascii="Times New Roman" w:hAnsi="Times New Roman" w:cs="Times New Roman"/>
          <w:sz w:val="24"/>
          <w:szCs w:val="24"/>
        </w:rPr>
        <w:t>Reference</w:t>
      </w:r>
      <w:bookmarkEnd w:id="13"/>
      <w:r w:rsidR="009D0E26" w:rsidRPr="009D0E26">
        <w:rPr>
          <w:rFonts w:ascii="Times New Roman" w:hAnsi="Times New Roman" w:cs="Times New Roman"/>
          <w:sz w:val="24"/>
          <w:szCs w:val="24"/>
        </w:rPr>
        <w:t>s.</w:t>
      </w:r>
    </w:p>
    <w:p w:rsidR="002D5928" w:rsidRPr="009D0E26" w:rsidRDefault="002D5928" w:rsidP="009D0E26">
      <w:pPr>
        <w:spacing w:line="480" w:lineRule="auto"/>
        <w:ind w:left="720" w:hanging="720"/>
        <w:jc w:val="both"/>
        <w:rPr>
          <w:rFonts w:ascii="Times New Roman" w:hAnsi="Times New Roman" w:cs="Times New Roman"/>
          <w:i/>
          <w:sz w:val="24"/>
          <w:szCs w:val="24"/>
        </w:rPr>
      </w:pPr>
      <w:r w:rsidRPr="009D0E26">
        <w:rPr>
          <w:rFonts w:ascii="Times New Roman" w:hAnsi="Times New Roman" w:cs="Times New Roman"/>
          <w:sz w:val="24"/>
          <w:szCs w:val="24"/>
        </w:rPr>
        <w:t xml:space="preserve">FindLaw's United States Supreme Court case and opinions. (2018). </w:t>
      </w:r>
      <w:r w:rsidRPr="009D0E26">
        <w:rPr>
          <w:rFonts w:ascii="Times New Roman" w:hAnsi="Times New Roman" w:cs="Times New Roman"/>
          <w:i/>
          <w:sz w:val="24"/>
          <w:szCs w:val="24"/>
        </w:rPr>
        <w:t>Retrieved from https://caselaw.findlaw.com/us-supreme-court/547/410.html</w:t>
      </w:r>
    </w:p>
    <w:p w:rsidR="002D5928" w:rsidRPr="009D0E26" w:rsidRDefault="002D5928" w:rsidP="009D0E26">
      <w:pPr>
        <w:spacing w:line="480" w:lineRule="auto"/>
        <w:ind w:left="720" w:hanging="720"/>
        <w:jc w:val="both"/>
        <w:rPr>
          <w:rFonts w:ascii="Times New Roman" w:hAnsi="Times New Roman" w:cs="Times New Roman"/>
          <w:i/>
          <w:sz w:val="24"/>
          <w:szCs w:val="24"/>
        </w:rPr>
      </w:pPr>
      <w:r w:rsidRPr="009D0E26">
        <w:rPr>
          <w:rFonts w:ascii="Times New Roman" w:hAnsi="Times New Roman" w:cs="Times New Roman"/>
          <w:sz w:val="24"/>
          <w:szCs w:val="24"/>
        </w:rPr>
        <w:t xml:space="preserve">Gamreklidze, E. (2015). Freedom of Speech in US Supreme Court Justices’ Opinions: Political Speech Protection as Applied by the Roberts Court. </w:t>
      </w:r>
      <w:r w:rsidRPr="009D0E26">
        <w:rPr>
          <w:rFonts w:ascii="Times New Roman" w:hAnsi="Times New Roman" w:cs="Times New Roman"/>
          <w:i/>
          <w:sz w:val="24"/>
          <w:szCs w:val="24"/>
        </w:rPr>
        <w:t>First Amendment Studies, 49(1), 44-66. doi: 10.1080/21689725.2015.1021506</w:t>
      </w:r>
    </w:p>
    <w:p w:rsidR="002D5928" w:rsidRPr="009D0E26" w:rsidRDefault="002D5928" w:rsidP="009D0E26">
      <w:pPr>
        <w:spacing w:line="480" w:lineRule="auto"/>
        <w:ind w:left="720" w:hanging="720"/>
        <w:jc w:val="both"/>
        <w:rPr>
          <w:rFonts w:ascii="Times New Roman" w:hAnsi="Times New Roman" w:cs="Times New Roman"/>
          <w:i/>
          <w:sz w:val="24"/>
          <w:szCs w:val="24"/>
        </w:rPr>
      </w:pPr>
      <w:r w:rsidRPr="009D0E26">
        <w:rPr>
          <w:rFonts w:ascii="Times New Roman" w:hAnsi="Times New Roman" w:cs="Times New Roman"/>
          <w:sz w:val="24"/>
          <w:szCs w:val="24"/>
        </w:rPr>
        <w:t xml:space="preserve">Hayford, S. (1985). First Amendment Rights of Government Employees: A Primer for Public Officials. </w:t>
      </w:r>
      <w:r w:rsidRPr="009D0E26">
        <w:rPr>
          <w:rFonts w:ascii="Times New Roman" w:hAnsi="Times New Roman" w:cs="Times New Roman"/>
          <w:i/>
          <w:sz w:val="24"/>
          <w:szCs w:val="24"/>
        </w:rPr>
        <w:t>Public Administration Review, 45(1), 241.doi: 10.2307/3110153</w:t>
      </w:r>
    </w:p>
    <w:p w:rsidR="002D5928" w:rsidRPr="009D0E26" w:rsidRDefault="002D5928" w:rsidP="009D0E26">
      <w:pPr>
        <w:spacing w:line="480" w:lineRule="auto"/>
        <w:ind w:left="720" w:hanging="720"/>
        <w:jc w:val="both"/>
        <w:rPr>
          <w:rFonts w:ascii="Times New Roman" w:hAnsi="Times New Roman" w:cs="Times New Roman"/>
          <w:i/>
          <w:sz w:val="24"/>
          <w:szCs w:val="24"/>
        </w:rPr>
      </w:pPr>
      <w:r w:rsidRPr="009D0E26">
        <w:rPr>
          <w:rFonts w:ascii="Times New Roman" w:hAnsi="Times New Roman" w:cs="Times New Roman"/>
          <w:sz w:val="24"/>
          <w:szCs w:val="24"/>
        </w:rPr>
        <w:t xml:space="preserve">Patel, K. (2017). Testing the Limits of the First Amendment: How a CFAA Prohibition on Online Antidiscrimination Testing Infringes on Protected Speech Activity. </w:t>
      </w:r>
      <w:r w:rsidRPr="009D0E26">
        <w:rPr>
          <w:rFonts w:ascii="Times New Roman" w:hAnsi="Times New Roman" w:cs="Times New Roman"/>
          <w:i/>
          <w:sz w:val="24"/>
          <w:szCs w:val="24"/>
        </w:rPr>
        <w:t>SSRN Electronic Journal.doi: 10.2139/ssrn.3046847</w:t>
      </w:r>
    </w:p>
    <w:p w:rsidR="002D5928" w:rsidRPr="009D0E26" w:rsidRDefault="002D5928" w:rsidP="009D0E26">
      <w:pPr>
        <w:spacing w:line="480" w:lineRule="auto"/>
        <w:ind w:left="720" w:hanging="720"/>
        <w:jc w:val="both"/>
        <w:rPr>
          <w:rFonts w:ascii="Times New Roman" w:hAnsi="Times New Roman" w:cs="Times New Roman"/>
          <w:i/>
          <w:sz w:val="24"/>
          <w:szCs w:val="24"/>
        </w:rPr>
      </w:pPr>
      <w:r w:rsidRPr="009D0E26">
        <w:rPr>
          <w:rFonts w:ascii="Times New Roman" w:hAnsi="Times New Roman" w:cs="Times New Roman"/>
          <w:sz w:val="24"/>
          <w:szCs w:val="24"/>
        </w:rPr>
        <w:t>Siegel, P. (1993). Does the First Amendment Require the Equal Access Act? The Battle of the First Amendment Clauses.</w:t>
      </w:r>
      <w:r w:rsidRPr="009D0E26">
        <w:rPr>
          <w:rFonts w:ascii="Times New Roman" w:hAnsi="Times New Roman" w:cs="Times New Roman"/>
          <w:i/>
          <w:sz w:val="24"/>
          <w:szCs w:val="24"/>
        </w:rPr>
        <w:t>Free Speech Yearbook, 31(1), 138-150. doi: 10.1080/08997225.1993.10556158</w:t>
      </w:r>
    </w:p>
    <w:p w:rsidR="002D5928" w:rsidRPr="009D0E26" w:rsidRDefault="002D5928" w:rsidP="009D0E26">
      <w:pPr>
        <w:spacing w:line="480" w:lineRule="auto"/>
        <w:ind w:left="720" w:hanging="720"/>
        <w:jc w:val="both"/>
        <w:rPr>
          <w:rFonts w:ascii="Times New Roman" w:hAnsi="Times New Roman" w:cs="Times New Roman"/>
          <w:i/>
          <w:sz w:val="24"/>
          <w:szCs w:val="24"/>
        </w:rPr>
      </w:pPr>
      <w:r w:rsidRPr="009D0E26">
        <w:rPr>
          <w:rFonts w:ascii="Times New Roman" w:hAnsi="Times New Roman" w:cs="Times New Roman"/>
          <w:sz w:val="24"/>
          <w:szCs w:val="24"/>
        </w:rPr>
        <w:t xml:space="preserve">Smith, K. (2011). Hey! That’s My Valor: The Stolen Valor Act and Government Regulation of Speech Under the First Amendment. </w:t>
      </w:r>
      <w:r w:rsidRPr="009D0E26">
        <w:rPr>
          <w:rFonts w:ascii="Times New Roman" w:hAnsi="Times New Roman" w:cs="Times New Roman"/>
          <w:i/>
          <w:sz w:val="24"/>
          <w:szCs w:val="24"/>
        </w:rPr>
        <w:t>SSRN Electronic Journal.doi: 10.2139/ssrn.1927590</w:t>
      </w:r>
    </w:p>
    <w:p w:rsidR="002D5928" w:rsidRPr="009D0E26" w:rsidRDefault="002D5928" w:rsidP="009D0E26">
      <w:pPr>
        <w:spacing w:line="480" w:lineRule="auto"/>
        <w:jc w:val="both"/>
        <w:rPr>
          <w:rFonts w:ascii="Times New Roman" w:hAnsi="Times New Roman" w:cs="Times New Roman"/>
          <w:sz w:val="24"/>
          <w:szCs w:val="24"/>
        </w:rPr>
      </w:pPr>
    </w:p>
    <w:sectPr w:rsidR="002D5928" w:rsidRPr="009D0E26" w:rsidSect="009D0E26">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15EC" w:rsidRDefault="003C15EC" w:rsidP="001B1FC9">
      <w:pPr>
        <w:spacing w:after="0" w:line="240" w:lineRule="auto"/>
      </w:pPr>
      <w:r>
        <w:separator/>
      </w:r>
    </w:p>
  </w:endnote>
  <w:endnote w:type="continuationSeparator" w:id="1">
    <w:p w:rsidR="003C15EC" w:rsidRDefault="003C15EC" w:rsidP="001B1F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5244788"/>
      <w:docPartObj>
        <w:docPartGallery w:val="Page Numbers (Bottom of Page)"/>
        <w:docPartUnique/>
      </w:docPartObj>
    </w:sdtPr>
    <w:sdtEndPr>
      <w:rPr>
        <w:noProof/>
      </w:rPr>
    </w:sdtEndPr>
    <w:sdtContent>
      <w:p w:rsidR="001B1FC9" w:rsidRDefault="00ED792B">
        <w:pPr>
          <w:pStyle w:val="Footer"/>
          <w:jc w:val="right"/>
        </w:pPr>
      </w:p>
    </w:sdtContent>
  </w:sdt>
  <w:p w:rsidR="001B1FC9" w:rsidRDefault="001B1FC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15EC" w:rsidRDefault="003C15EC" w:rsidP="001B1FC9">
      <w:pPr>
        <w:spacing w:after="0" w:line="240" w:lineRule="auto"/>
      </w:pPr>
      <w:r>
        <w:separator/>
      </w:r>
    </w:p>
  </w:footnote>
  <w:footnote w:type="continuationSeparator" w:id="1">
    <w:p w:rsidR="003C15EC" w:rsidRDefault="003C15EC" w:rsidP="001B1F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50584"/>
      <w:docPartObj>
        <w:docPartGallery w:val="Page Numbers (Top of Page)"/>
        <w:docPartUnique/>
      </w:docPartObj>
    </w:sdtPr>
    <w:sdtContent>
      <w:p w:rsidR="001B1FC9" w:rsidRPr="009D0E26" w:rsidRDefault="009D0E26">
        <w:pPr>
          <w:pStyle w:val="Header"/>
          <w:rPr>
            <w:rFonts w:ascii="Times New Roman" w:hAnsi="Times New Roman" w:cs="Times New Roman"/>
            <w:sz w:val="24"/>
            <w:szCs w:val="24"/>
          </w:rPr>
        </w:pPr>
        <w:r w:rsidRPr="009D0E26">
          <w:rPr>
            <w:rFonts w:ascii="Times New Roman" w:hAnsi="Times New Roman" w:cs="Times New Roman"/>
            <w:sz w:val="24"/>
            <w:szCs w:val="24"/>
          </w:rPr>
          <w:t>FORENSIC CASE STUDY</w:t>
        </w:r>
        <w:r w:rsidRPr="009D0E26">
          <w:rPr>
            <w:rFonts w:ascii="Times New Roman" w:hAnsi="Times New Roman" w:cs="Times New Roman"/>
            <w:sz w:val="24"/>
            <w:szCs w:val="24"/>
          </w:rPr>
          <w:tab/>
        </w:r>
        <w:r w:rsidRPr="009D0E26">
          <w:rPr>
            <w:rFonts w:ascii="Times New Roman" w:hAnsi="Times New Roman" w:cs="Times New Roman"/>
            <w:sz w:val="24"/>
            <w:szCs w:val="24"/>
          </w:rPr>
          <w:tab/>
        </w:r>
        <w:r w:rsidRPr="009D0E26">
          <w:rPr>
            <w:rFonts w:ascii="Times New Roman" w:hAnsi="Times New Roman" w:cs="Times New Roman"/>
            <w:sz w:val="24"/>
            <w:szCs w:val="24"/>
          </w:rPr>
          <w:fldChar w:fldCharType="begin"/>
        </w:r>
        <w:r w:rsidRPr="009D0E26">
          <w:rPr>
            <w:rFonts w:ascii="Times New Roman" w:hAnsi="Times New Roman" w:cs="Times New Roman"/>
            <w:sz w:val="24"/>
            <w:szCs w:val="24"/>
          </w:rPr>
          <w:instrText xml:space="preserve"> PAGE   \* MERGEFORMAT </w:instrText>
        </w:r>
        <w:r w:rsidRPr="009D0E26">
          <w:rPr>
            <w:rFonts w:ascii="Times New Roman" w:hAnsi="Times New Roman" w:cs="Times New Roman"/>
            <w:sz w:val="24"/>
            <w:szCs w:val="24"/>
          </w:rPr>
          <w:fldChar w:fldCharType="separate"/>
        </w:r>
        <w:r>
          <w:rPr>
            <w:rFonts w:ascii="Times New Roman" w:hAnsi="Times New Roman" w:cs="Times New Roman"/>
            <w:noProof/>
            <w:sz w:val="24"/>
            <w:szCs w:val="24"/>
          </w:rPr>
          <w:t>2</w:t>
        </w:r>
        <w:r w:rsidRPr="009D0E2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E26" w:rsidRPr="009D0E26" w:rsidRDefault="009D0E26" w:rsidP="009D0E26">
    <w:pPr>
      <w:pStyle w:val="Header"/>
      <w:jc w:val="right"/>
      <w:rPr>
        <w:rFonts w:ascii="Times New Roman" w:hAnsi="Times New Roman" w:cs="Times New Roman"/>
        <w:sz w:val="24"/>
        <w:szCs w:val="24"/>
      </w:rPr>
    </w:pPr>
    <w:r w:rsidRPr="009D0E26">
      <w:rPr>
        <w:rFonts w:ascii="Times New Roman" w:hAnsi="Times New Roman" w:cs="Times New Roman"/>
        <w:sz w:val="24"/>
        <w:szCs w:val="24"/>
      </w:rPr>
      <w:t xml:space="preserve">Running head: FORENSIC CASE STUDY </w:t>
    </w:r>
    <w:r w:rsidRPr="009D0E26">
      <w:rPr>
        <w:rFonts w:ascii="Times New Roman" w:hAnsi="Times New Roman" w:cs="Times New Roman"/>
        <w:sz w:val="24"/>
        <w:szCs w:val="24"/>
      </w:rPr>
      <w:tab/>
    </w:r>
    <w:r w:rsidRPr="009D0E26">
      <w:rPr>
        <w:rFonts w:ascii="Times New Roman" w:hAnsi="Times New Roman" w:cs="Times New Roman"/>
        <w:sz w:val="24"/>
        <w:szCs w:val="24"/>
      </w:rPr>
      <w:tab/>
    </w:r>
    <w:sdt>
      <w:sdtPr>
        <w:rPr>
          <w:rFonts w:ascii="Times New Roman" w:hAnsi="Times New Roman" w:cs="Times New Roman"/>
          <w:sz w:val="24"/>
          <w:szCs w:val="24"/>
        </w:rPr>
        <w:id w:val="450532"/>
        <w:docPartObj>
          <w:docPartGallery w:val="Page Numbers (Top of Page)"/>
          <w:docPartUnique/>
        </w:docPartObj>
      </w:sdtPr>
      <w:sdtContent>
        <w:r w:rsidRPr="009D0E26">
          <w:rPr>
            <w:rFonts w:ascii="Times New Roman" w:hAnsi="Times New Roman" w:cs="Times New Roman"/>
            <w:sz w:val="24"/>
            <w:szCs w:val="24"/>
          </w:rPr>
          <w:fldChar w:fldCharType="begin"/>
        </w:r>
        <w:r w:rsidRPr="009D0E26">
          <w:rPr>
            <w:rFonts w:ascii="Times New Roman" w:hAnsi="Times New Roman" w:cs="Times New Roman"/>
            <w:sz w:val="24"/>
            <w:szCs w:val="24"/>
          </w:rPr>
          <w:instrText xml:space="preserve"> PAGE   \* MERGEFORMAT </w:instrText>
        </w:r>
        <w:r w:rsidRPr="009D0E26">
          <w:rPr>
            <w:rFonts w:ascii="Times New Roman" w:hAnsi="Times New Roman" w:cs="Times New Roman"/>
            <w:sz w:val="24"/>
            <w:szCs w:val="24"/>
          </w:rPr>
          <w:fldChar w:fldCharType="separate"/>
        </w:r>
        <w:r w:rsidR="003C15EC">
          <w:rPr>
            <w:rFonts w:ascii="Times New Roman" w:hAnsi="Times New Roman" w:cs="Times New Roman"/>
            <w:noProof/>
            <w:sz w:val="24"/>
            <w:szCs w:val="24"/>
          </w:rPr>
          <w:t>1</w:t>
        </w:r>
        <w:r w:rsidRPr="009D0E26">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526306"/>
    <w:multiLevelType w:val="hybridMultilevel"/>
    <w:tmpl w:val="518CB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hdrShapeDefaults>
    <o:shapedefaults v:ext="edit" spidmax="5122"/>
  </w:hdrShapeDefaults>
  <w:footnotePr>
    <w:footnote w:id="0"/>
    <w:footnote w:id="1"/>
  </w:footnotePr>
  <w:endnotePr>
    <w:endnote w:id="0"/>
    <w:endnote w:id="1"/>
  </w:endnotePr>
  <w:compat/>
  <w:rsids>
    <w:rsidRoot w:val="00624A15"/>
    <w:rsid w:val="000745BA"/>
    <w:rsid w:val="000A03C7"/>
    <w:rsid w:val="000A32F6"/>
    <w:rsid w:val="00180529"/>
    <w:rsid w:val="001B1FC9"/>
    <w:rsid w:val="001B45F5"/>
    <w:rsid w:val="001F177C"/>
    <w:rsid w:val="001F2121"/>
    <w:rsid w:val="0020201F"/>
    <w:rsid w:val="00254095"/>
    <w:rsid w:val="002C00FA"/>
    <w:rsid w:val="002D5928"/>
    <w:rsid w:val="002F1F68"/>
    <w:rsid w:val="0030203D"/>
    <w:rsid w:val="003132A8"/>
    <w:rsid w:val="00360397"/>
    <w:rsid w:val="003750D4"/>
    <w:rsid w:val="003C15EC"/>
    <w:rsid w:val="003E1956"/>
    <w:rsid w:val="003E60C6"/>
    <w:rsid w:val="003E69A6"/>
    <w:rsid w:val="00423033"/>
    <w:rsid w:val="00440D38"/>
    <w:rsid w:val="00451229"/>
    <w:rsid w:val="00487F0F"/>
    <w:rsid w:val="00492ABD"/>
    <w:rsid w:val="004E344C"/>
    <w:rsid w:val="00570E1B"/>
    <w:rsid w:val="00592574"/>
    <w:rsid w:val="00624A15"/>
    <w:rsid w:val="00630EB1"/>
    <w:rsid w:val="0064529E"/>
    <w:rsid w:val="00653C1F"/>
    <w:rsid w:val="006A28D0"/>
    <w:rsid w:val="006A6119"/>
    <w:rsid w:val="006C6925"/>
    <w:rsid w:val="007744BD"/>
    <w:rsid w:val="0078021D"/>
    <w:rsid w:val="00783D2C"/>
    <w:rsid w:val="007A3EAE"/>
    <w:rsid w:val="007F353E"/>
    <w:rsid w:val="00832086"/>
    <w:rsid w:val="008822C0"/>
    <w:rsid w:val="008F168B"/>
    <w:rsid w:val="009372F3"/>
    <w:rsid w:val="00957367"/>
    <w:rsid w:val="009A11CD"/>
    <w:rsid w:val="009C4036"/>
    <w:rsid w:val="009D0E26"/>
    <w:rsid w:val="009F3F5C"/>
    <w:rsid w:val="00A034D3"/>
    <w:rsid w:val="00A1270C"/>
    <w:rsid w:val="00A313E1"/>
    <w:rsid w:val="00A60478"/>
    <w:rsid w:val="00A9141B"/>
    <w:rsid w:val="00AA21C1"/>
    <w:rsid w:val="00AF3A63"/>
    <w:rsid w:val="00B6191C"/>
    <w:rsid w:val="00B72387"/>
    <w:rsid w:val="00B745B6"/>
    <w:rsid w:val="00B86F86"/>
    <w:rsid w:val="00BB549C"/>
    <w:rsid w:val="00BC7B78"/>
    <w:rsid w:val="00BE66AD"/>
    <w:rsid w:val="00C52917"/>
    <w:rsid w:val="00C73F60"/>
    <w:rsid w:val="00CD40F5"/>
    <w:rsid w:val="00D235CA"/>
    <w:rsid w:val="00D55DFD"/>
    <w:rsid w:val="00D60FD5"/>
    <w:rsid w:val="00DE4974"/>
    <w:rsid w:val="00ED792B"/>
    <w:rsid w:val="00EE329C"/>
    <w:rsid w:val="00EE36A6"/>
    <w:rsid w:val="00F6217B"/>
    <w:rsid w:val="00FB146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92B"/>
  </w:style>
  <w:style w:type="paragraph" w:styleId="Heading1">
    <w:name w:val="heading 1"/>
    <w:basedOn w:val="Normal"/>
    <w:next w:val="Normal"/>
    <w:link w:val="Heading1Char"/>
    <w:uiPriority w:val="9"/>
    <w:qFormat/>
    <w:rsid w:val="002D59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59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D59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5928"/>
    <w:rPr>
      <w:color w:val="0000FF" w:themeColor="hyperlink"/>
      <w:u w:val="single"/>
    </w:rPr>
  </w:style>
  <w:style w:type="character" w:customStyle="1" w:styleId="Heading1Char">
    <w:name w:val="Heading 1 Char"/>
    <w:basedOn w:val="DefaultParagraphFont"/>
    <w:link w:val="Heading1"/>
    <w:uiPriority w:val="9"/>
    <w:rsid w:val="002D592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2D5928"/>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2D5928"/>
    <w:pPr>
      <w:spacing w:after="100" w:line="259" w:lineRule="auto"/>
    </w:pPr>
    <w:rPr>
      <w:lang w:val="en-ZA"/>
    </w:rPr>
  </w:style>
  <w:style w:type="paragraph" w:styleId="BalloonText">
    <w:name w:val="Balloon Text"/>
    <w:basedOn w:val="Normal"/>
    <w:link w:val="BalloonTextChar"/>
    <w:uiPriority w:val="99"/>
    <w:semiHidden/>
    <w:unhideWhenUsed/>
    <w:rsid w:val="002D5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928"/>
    <w:rPr>
      <w:rFonts w:ascii="Tahoma" w:hAnsi="Tahoma" w:cs="Tahoma"/>
      <w:sz w:val="16"/>
      <w:szCs w:val="16"/>
    </w:rPr>
  </w:style>
  <w:style w:type="character" w:customStyle="1" w:styleId="Heading2Char">
    <w:name w:val="Heading 2 Char"/>
    <w:basedOn w:val="DefaultParagraphFont"/>
    <w:link w:val="Heading2"/>
    <w:uiPriority w:val="9"/>
    <w:rsid w:val="002D59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D5928"/>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1B1FC9"/>
    <w:pPr>
      <w:spacing w:after="100"/>
      <w:ind w:left="440"/>
    </w:pPr>
  </w:style>
  <w:style w:type="paragraph" w:styleId="Header">
    <w:name w:val="header"/>
    <w:basedOn w:val="Normal"/>
    <w:link w:val="HeaderChar"/>
    <w:uiPriority w:val="99"/>
    <w:unhideWhenUsed/>
    <w:rsid w:val="001B1F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FC9"/>
  </w:style>
  <w:style w:type="paragraph" w:styleId="Footer">
    <w:name w:val="footer"/>
    <w:basedOn w:val="Normal"/>
    <w:link w:val="FooterChar"/>
    <w:uiPriority w:val="99"/>
    <w:unhideWhenUsed/>
    <w:rsid w:val="001B1F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FC9"/>
  </w:style>
  <w:style w:type="paragraph" w:styleId="ListParagraph">
    <w:name w:val="List Paragraph"/>
    <w:basedOn w:val="Normal"/>
    <w:uiPriority w:val="34"/>
    <w:qFormat/>
    <w:rsid w:val="001B1FC9"/>
    <w:pPr>
      <w:ind w:left="720"/>
      <w:contextualSpacing/>
    </w:pPr>
  </w:style>
  <w:style w:type="paragraph" w:styleId="NoSpacing">
    <w:name w:val="No Spacing"/>
    <w:uiPriority w:val="1"/>
    <w:qFormat/>
    <w:rsid w:val="009D0E2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D59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59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D59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5928"/>
    <w:rPr>
      <w:color w:val="0000FF" w:themeColor="hyperlink"/>
      <w:u w:val="single"/>
    </w:rPr>
  </w:style>
  <w:style w:type="character" w:customStyle="1" w:styleId="Heading1Char">
    <w:name w:val="Heading 1 Char"/>
    <w:basedOn w:val="DefaultParagraphFont"/>
    <w:link w:val="Heading1"/>
    <w:uiPriority w:val="9"/>
    <w:rsid w:val="002D592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2D5928"/>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2D5928"/>
    <w:pPr>
      <w:spacing w:after="100" w:line="259" w:lineRule="auto"/>
    </w:pPr>
    <w:rPr>
      <w:lang w:val="en-ZA"/>
    </w:rPr>
  </w:style>
  <w:style w:type="paragraph" w:styleId="BalloonText">
    <w:name w:val="Balloon Text"/>
    <w:basedOn w:val="Normal"/>
    <w:link w:val="BalloonTextChar"/>
    <w:uiPriority w:val="99"/>
    <w:semiHidden/>
    <w:unhideWhenUsed/>
    <w:rsid w:val="002D59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928"/>
    <w:rPr>
      <w:rFonts w:ascii="Tahoma" w:hAnsi="Tahoma" w:cs="Tahoma"/>
      <w:sz w:val="16"/>
      <w:szCs w:val="16"/>
    </w:rPr>
  </w:style>
  <w:style w:type="character" w:customStyle="1" w:styleId="Heading2Char">
    <w:name w:val="Heading 2 Char"/>
    <w:basedOn w:val="DefaultParagraphFont"/>
    <w:link w:val="Heading2"/>
    <w:uiPriority w:val="9"/>
    <w:rsid w:val="002D59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D5928"/>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1B1FC9"/>
    <w:pPr>
      <w:spacing w:after="100"/>
      <w:ind w:left="440"/>
    </w:pPr>
  </w:style>
  <w:style w:type="paragraph" w:styleId="Header">
    <w:name w:val="header"/>
    <w:basedOn w:val="Normal"/>
    <w:link w:val="HeaderChar"/>
    <w:uiPriority w:val="99"/>
    <w:unhideWhenUsed/>
    <w:rsid w:val="001B1F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FC9"/>
  </w:style>
  <w:style w:type="paragraph" w:styleId="Footer">
    <w:name w:val="footer"/>
    <w:basedOn w:val="Normal"/>
    <w:link w:val="FooterChar"/>
    <w:uiPriority w:val="99"/>
    <w:unhideWhenUsed/>
    <w:rsid w:val="001B1F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FC9"/>
  </w:style>
  <w:style w:type="paragraph" w:styleId="ListParagraph">
    <w:name w:val="List Paragraph"/>
    <w:basedOn w:val="Normal"/>
    <w:uiPriority w:val="34"/>
    <w:qFormat/>
    <w:rsid w:val="001B1FC9"/>
    <w:pPr>
      <w:ind w:left="720"/>
      <w:contextualSpacing/>
    </w:pPr>
  </w:style>
</w:styles>
</file>

<file path=word/webSettings.xml><?xml version="1.0" encoding="utf-8"?>
<w:webSettings xmlns:r="http://schemas.openxmlformats.org/officeDocument/2006/relationships" xmlns:w="http://schemas.openxmlformats.org/wordprocessingml/2006/main">
  <w:divs>
    <w:div w:id="250626973">
      <w:bodyDiv w:val="1"/>
      <w:marLeft w:val="0"/>
      <w:marRight w:val="0"/>
      <w:marTop w:val="0"/>
      <w:marBottom w:val="0"/>
      <w:divBdr>
        <w:top w:val="none" w:sz="0" w:space="0" w:color="auto"/>
        <w:left w:val="none" w:sz="0" w:space="0" w:color="auto"/>
        <w:bottom w:val="none" w:sz="0" w:space="0" w:color="auto"/>
        <w:right w:val="none" w:sz="0" w:space="0" w:color="auto"/>
      </w:divBdr>
    </w:div>
    <w:div w:id="42160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1899</Words>
  <Characters>10829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Kelvin Jackson</cp:lastModifiedBy>
  <cp:revision>2</cp:revision>
  <dcterms:created xsi:type="dcterms:W3CDTF">2018-12-08T06:52:00Z</dcterms:created>
  <dcterms:modified xsi:type="dcterms:W3CDTF">2018-12-08T06:52:00Z</dcterms:modified>
</cp:coreProperties>
</file>