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622" w:rsidRPr="00C94622" w:rsidRDefault="008B648A" w:rsidP="006323F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Case #1</w:t>
      </w:r>
    </w:p>
    <w:p w:rsidR="00377139" w:rsidRPr="00C94622" w:rsidRDefault="008B648A" w:rsidP="00C94622">
      <w:pPr>
        <w:spacing w:after="0" w:line="480" w:lineRule="auto"/>
        <w:ind w:firstLine="851"/>
        <w:rPr>
          <w:rFonts w:ascii="Times New Roman" w:hAnsi="Times New Roman" w:cs="Times New Roman"/>
          <w:color w:val="000000" w:themeColor="text1"/>
          <w:sz w:val="24"/>
          <w:szCs w:val="24"/>
        </w:rPr>
      </w:pPr>
      <w:r w:rsidRPr="00C94622">
        <w:rPr>
          <w:rFonts w:ascii="Times New Roman" w:hAnsi="Times New Roman" w:cs="Times New Roman"/>
          <w:color w:val="000000" w:themeColor="text1"/>
          <w:sz w:val="24"/>
          <w:szCs w:val="24"/>
        </w:rPr>
        <w:t xml:space="preserve">Gastritis is a medical condition characterized by irritation, erosion, or the stomach wall's inflammation. The condition can be acute or chronic. The factors that cause the disease's occurrence are the use of drugs such as </w:t>
      </w:r>
      <w:r w:rsidR="008F1926" w:rsidRPr="00C94622">
        <w:rPr>
          <w:rFonts w:ascii="Times New Roman" w:hAnsi="Times New Roman" w:cs="Times New Roman"/>
          <w:color w:val="000000" w:themeColor="text1"/>
          <w:sz w:val="24"/>
          <w:szCs w:val="24"/>
        </w:rPr>
        <w:t>aspirin, stress, long-term vomiting, and excess alcohol consumption</w:t>
      </w:r>
      <w:r w:rsidR="00C94622" w:rsidRPr="00C94622">
        <w:rPr>
          <w:rFonts w:ascii="Times New Roman" w:hAnsi="Times New Roman" w:cs="Times New Roman"/>
          <w:color w:val="000000" w:themeColor="text1"/>
          <w:sz w:val="24"/>
          <w:szCs w:val="24"/>
        </w:rPr>
        <w:t xml:space="preserve"> (</w:t>
      </w:r>
      <w:r w:rsidR="00C94622" w:rsidRPr="00C94622">
        <w:rPr>
          <w:rFonts w:ascii="Times New Roman" w:hAnsi="Times New Roman" w:cs="Times New Roman"/>
          <w:color w:val="000000" w:themeColor="text1"/>
          <w:sz w:val="24"/>
          <w:szCs w:val="24"/>
          <w:shd w:val="clear" w:color="auto" w:fill="FFFFFF"/>
        </w:rPr>
        <w:t>Sipponen</w:t>
      </w:r>
      <w:r w:rsidR="006323F9">
        <w:rPr>
          <w:rFonts w:ascii="Times New Roman" w:hAnsi="Times New Roman" w:cs="Times New Roman"/>
          <w:color w:val="000000" w:themeColor="text1"/>
          <w:sz w:val="24"/>
          <w:szCs w:val="24"/>
          <w:shd w:val="clear" w:color="auto" w:fill="FFFFFF"/>
        </w:rPr>
        <w:t xml:space="preserve"> </w:t>
      </w:r>
      <w:r w:rsidR="00C94622" w:rsidRPr="00C94622">
        <w:rPr>
          <w:rFonts w:ascii="Times New Roman" w:hAnsi="Times New Roman" w:cs="Times New Roman"/>
          <w:color w:val="000000" w:themeColor="text1"/>
          <w:sz w:val="24"/>
          <w:szCs w:val="24"/>
          <w:shd w:val="clear" w:color="auto" w:fill="FFFFFF"/>
        </w:rPr>
        <w:t>&amp;</w:t>
      </w:r>
      <w:r w:rsidR="006323F9">
        <w:rPr>
          <w:rFonts w:ascii="Times New Roman" w:hAnsi="Times New Roman" w:cs="Times New Roman"/>
          <w:color w:val="000000" w:themeColor="text1"/>
          <w:sz w:val="24"/>
          <w:szCs w:val="24"/>
          <w:shd w:val="clear" w:color="auto" w:fill="FFFFFF"/>
        </w:rPr>
        <w:t xml:space="preserve"> </w:t>
      </w:r>
      <w:r w:rsidR="00C94622" w:rsidRPr="00C94622">
        <w:rPr>
          <w:rFonts w:ascii="Times New Roman" w:hAnsi="Times New Roman" w:cs="Times New Roman"/>
          <w:color w:val="000000" w:themeColor="text1"/>
          <w:sz w:val="24"/>
          <w:szCs w:val="24"/>
          <w:shd w:val="clear" w:color="auto" w:fill="FFFFFF"/>
        </w:rPr>
        <w:t>Maaroos, 2015)</w:t>
      </w:r>
      <w:r w:rsidR="008F1926" w:rsidRPr="00C94622">
        <w:rPr>
          <w:rFonts w:ascii="Times New Roman" w:hAnsi="Times New Roman" w:cs="Times New Roman"/>
          <w:color w:val="000000" w:themeColor="text1"/>
          <w:sz w:val="24"/>
          <w:szCs w:val="24"/>
        </w:rPr>
        <w:t>. The condition can also be caused by helicobacter pylori, which is a bacterium, flux of the bile, and virus infections. The disease presents</w:t>
      </w:r>
      <w:r w:rsidR="006323F9">
        <w:rPr>
          <w:rFonts w:ascii="Times New Roman" w:hAnsi="Times New Roman" w:cs="Times New Roman"/>
          <w:color w:val="000000" w:themeColor="text1"/>
          <w:sz w:val="24"/>
          <w:szCs w:val="24"/>
        </w:rPr>
        <w:t xml:space="preserve"> itself with signs and symptoms</w:t>
      </w:r>
      <w:r w:rsidR="008F1926" w:rsidRPr="00C94622">
        <w:rPr>
          <w:rFonts w:ascii="Times New Roman" w:hAnsi="Times New Roman" w:cs="Times New Roman"/>
          <w:color w:val="000000" w:themeColor="text1"/>
          <w:sz w:val="24"/>
          <w:szCs w:val="24"/>
        </w:rPr>
        <w:t xml:space="preserve"> with bloating, epigastric pain, black stool, vomiting blood, anorexia, indigestion, and nausea. Clara presents with epigastric pain, which complicates after eating. The use of belching and Mylanta effectively reduces the epigastric pain presented by the patient, which reveals the presence of gastritis.</w:t>
      </w:r>
    </w:p>
    <w:p w:rsidR="00022697" w:rsidRPr="00C94622" w:rsidRDefault="008B648A" w:rsidP="00C94622">
      <w:pPr>
        <w:spacing w:after="0" w:line="480" w:lineRule="auto"/>
        <w:ind w:firstLine="851"/>
        <w:jc w:val="center"/>
        <w:rPr>
          <w:rFonts w:ascii="Times New Roman" w:hAnsi="Times New Roman" w:cs="Times New Roman"/>
          <w:b/>
          <w:bCs/>
          <w:color w:val="000000" w:themeColor="text1"/>
          <w:sz w:val="24"/>
          <w:szCs w:val="24"/>
        </w:rPr>
      </w:pPr>
      <w:r w:rsidRPr="00C94622">
        <w:rPr>
          <w:rFonts w:ascii="Times New Roman" w:hAnsi="Times New Roman" w:cs="Times New Roman"/>
          <w:b/>
          <w:bCs/>
          <w:color w:val="000000" w:themeColor="text1"/>
          <w:sz w:val="24"/>
          <w:szCs w:val="24"/>
        </w:rPr>
        <w:t>Treatment Plan and Recommendation</w:t>
      </w:r>
    </w:p>
    <w:p w:rsidR="008F1926" w:rsidRPr="00C94622" w:rsidRDefault="008B648A" w:rsidP="00C94622">
      <w:pPr>
        <w:spacing w:after="0" w:line="480" w:lineRule="auto"/>
        <w:ind w:firstLine="851"/>
        <w:rPr>
          <w:rFonts w:ascii="Times New Roman" w:hAnsi="Times New Roman" w:cs="Times New Roman"/>
          <w:color w:val="000000" w:themeColor="text1"/>
          <w:sz w:val="24"/>
          <w:szCs w:val="24"/>
        </w:rPr>
      </w:pPr>
      <w:r w:rsidRPr="00C94622">
        <w:rPr>
          <w:rFonts w:ascii="Times New Roman" w:hAnsi="Times New Roman" w:cs="Times New Roman"/>
          <w:color w:val="000000" w:themeColor="text1"/>
          <w:sz w:val="24"/>
          <w:szCs w:val="24"/>
        </w:rPr>
        <w:t xml:space="preserve">The treatment plan for the patient will be focused on the reduction of complications and the long-term recovery of the patient from the disease. </w:t>
      </w:r>
      <w:r w:rsidR="00022697" w:rsidRPr="00C94622">
        <w:rPr>
          <w:rFonts w:ascii="Times New Roman" w:hAnsi="Times New Roman" w:cs="Times New Roman"/>
          <w:color w:val="000000" w:themeColor="text1"/>
          <w:sz w:val="24"/>
          <w:szCs w:val="24"/>
        </w:rPr>
        <w:t xml:space="preserve">The plan should involve the assessment of the patient, which includes diagnostic procedures. Though the patient presents with symptoms that revels that present of gastritis, it is significant to </w:t>
      </w:r>
      <w:r w:rsidR="00B060C9">
        <w:rPr>
          <w:rFonts w:ascii="Times New Roman" w:hAnsi="Times New Roman" w:cs="Times New Roman"/>
          <w:color w:val="000000" w:themeColor="text1"/>
          <w:sz w:val="24"/>
          <w:szCs w:val="24"/>
        </w:rPr>
        <w:t>b</w:t>
      </w:r>
      <w:r w:rsidR="00022697" w:rsidRPr="00C94622">
        <w:rPr>
          <w:rFonts w:ascii="Times New Roman" w:hAnsi="Times New Roman" w:cs="Times New Roman"/>
          <w:color w:val="000000" w:themeColor="text1"/>
          <w:sz w:val="24"/>
          <w:szCs w:val="24"/>
        </w:rPr>
        <w:t xml:space="preserve">e sure </w:t>
      </w:r>
      <w:r w:rsidR="006323F9" w:rsidRPr="00C94622">
        <w:rPr>
          <w:rFonts w:ascii="Times New Roman" w:hAnsi="Times New Roman" w:cs="Times New Roman"/>
          <w:color w:val="000000" w:themeColor="text1"/>
          <w:sz w:val="24"/>
          <w:szCs w:val="24"/>
        </w:rPr>
        <w:t>that diagnostic procedure</w:t>
      </w:r>
      <w:r w:rsidR="006323F9">
        <w:rPr>
          <w:rFonts w:ascii="Times New Roman" w:hAnsi="Times New Roman" w:cs="Times New Roman"/>
          <w:color w:val="000000" w:themeColor="text1"/>
          <w:sz w:val="24"/>
          <w:szCs w:val="24"/>
        </w:rPr>
        <w:t>s</w:t>
      </w:r>
      <w:r w:rsidR="00022697" w:rsidRPr="00C94622">
        <w:rPr>
          <w:rFonts w:ascii="Times New Roman" w:hAnsi="Times New Roman" w:cs="Times New Roman"/>
          <w:color w:val="000000" w:themeColor="text1"/>
          <w:sz w:val="24"/>
          <w:szCs w:val="24"/>
        </w:rPr>
        <w:t xml:space="preserve"> are carried out before commencement of the treatment</w:t>
      </w:r>
      <w:r w:rsidR="00C94622" w:rsidRPr="00C94622">
        <w:rPr>
          <w:rFonts w:ascii="Times New Roman" w:hAnsi="Times New Roman" w:cs="Times New Roman"/>
          <w:color w:val="000000" w:themeColor="text1"/>
          <w:sz w:val="24"/>
          <w:szCs w:val="24"/>
        </w:rPr>
        <w:t xml:space="preserve"> (</w:t>
      </w:r>
      <w:r w:rsidR="00C94622" w:rsidRPr="00C94622">
        <w:rPr>
          <w:rFonts w:ascii="Times New Roman" w:hAnsi="Times New Roman" w:cs="Times New Roman"/>
          <w:color w:val="000000" w:themeColor="text1"/>
          <w:sz w:val="24"/>
          <w:szCs w:val="24"/>
          <w:shd w:val="clear" w:color="auto" w:fill="FFFFFF"/>
        </w:rPr>
        <w:t>Sipponen</w:t>
      </w:r>
      <w:r w:rsidR="006323F9">
        <w:rPr>
          <w:rFonts w:ascii="Times New Roman" w:hAnsi="Times New Roman" w:cs="Times New Roman"/>
          <w:color w:val="000000" w:themeColor="text1"/>
          <w:sz w:val="24"/>
          <w:szCs w:val="24"/>
          <w:shd w:val="clear" w:color="auto" w:fill="FFFFFF"/>
        </w:rPr>
        <w:t xml:space="preserve"> </w:t>
      </w:r>
      <w:r w:rsidR="00C94622" w:rsidRPr="00C94622">
        <w:rPr>
          <w:rFonts w:ascii="Times New Roman" w:hAnsi="Times New Roman" w:cs="Times New Roman"/>
          <w:color w:val="000000" w:themeColor="text1"/>
          <w:sz w:val="24"/>
          <w:szCs w:val="24"/>
          <w:shd w:val="clear" w:color="auto" w:fill="FFFFFF"/>
        </w:rPr>
        <w:t>&amp;</w:t>
      </w:r>
      <w:r w:rsidR="006323F9">
        <w:rPr>
          <w:rFonts w:ascii="Times New Roman" w:hAnsi="Times New Roman" w:cs="Times New Roman"/>
          <w:color w:val="000000" w:themeColor="text1"/>
          <w:sz w:val="24"/>
          <w:szCs w:val="24"/>
          <w:shd w:val="clear" w:color="auto" w:fill="FFFFFF"/>
        </w:rPr>
        <w:t xml:space="preserve"> </w:t>
      </w:r>
      <w:r w:rsidR="00C94622" w:rsidRPr="00C94622">
        <w:rPr>
          <w:rFonts w:ascii="Times New Roman" w:hAnsi="Times New Roman" w:cs="Times New Roman"/>
          <w:color w:val="000000" w:themeColor="text1"/>
          <w:sz w:val="24"/>
          <w:szCs w:val="24"/>
          <w:shd w:val="clear" w:color="auto" w:fill="FFFFFF"/>
        </w:rPr>
        <w:t>Maaroos, 2015)</w:t>
      </w:r>
      <w:r w:rsidR="00022697" w:rsidRPr="00C94622">
        <w:rPr>
          <w:rFonts w:ascii="Times New Roman" w:hAnsi="Times New Roman" w:cs="Times New Roman"/>
          <w:color w:val="000000" w:themeColor="text1"/>
          <w:sz w:val="24"/>
          <w:szCs w:val="24"/>
        </w:rPr>
        <w:t xml:space="preserve">. One of the diagnostic tests for the patient is the H. Pylori test to determine the presence of the bacteria in the gut of the patient that might be causing erosion of the lining of the stomach. The analysis is carried out with stool and blood. The endoscopic test is part of the diagnostic procedure that should be done to assess the signs of inflammation in the gut. Also, x-rays can be done to ensure that the abnormalities that may be present in the digestive tract are ruled out. The patient should be provided with antibiotics that manage the presence of bacterial infections such as H. pylori.  Also, proton pump inhibitors such as </w:t>
      </w:r>
      <w:r w:rsidR="006F39C3" w:rsidRPr="00C94622">
        <w:rPr>
          <w:rFonts w:ascii="Times New Roman" w:hAnsi="Times New Roman" w:cs="Times New Roman"/>
          <w:color w:val="000000" w:themeColor="text1"/>
          <w:sz w:val="24"/>
          <w:szCs w:val="24"/>
        </w:rPr>
        <w:t xml:space="preserve">omeprazole are significant to prevent excess production of acid in the stomach. The patient should be </w:t>
      </w:r>
      <w:r w:rsidR="006F39C3" w:rsidRPr="00C94622">
        <w:rPr>
          <w:rFonts w:ascii="Times New Roman" w:hAnsi="Times New Roman" w:cs="Times New Roman"/>
          <w:color w:val="000000" w:themeColor="text1"/>
          <w:sz w:val="24"/>
          <w:szCs w:val="24"/>
        </w:rPr>
        <w:lastRenderedPageBreak/>
        <w:t>educated on the significance of consuming foods with low acid levels such as whole grains, fruits, fresh vegetables, milk, and soy.</w:t>
      </w:r>
    </w:p>
    <w:p w:rsidR="006F39C3" w:rsidRPr="00C94622" w:rsidRDefault="008B648A" w:rsidP="00C94622">
      <w:pPr>
        <w:spacing w:after="0" w:line="480" w:lineRule="auto"/>
        <w:ind w:firstLine="851"/>
        <w:jc w:val="center"/>
        <w:rPr>
          <w:rFonts w:ascii="Times New Roman" w:hAnsi="Times New Roman" w:cs="Times New Roman"/>
          <w:b/>
          <w:bCs/>
          <w:color w:val="000000" w:themeColor="text1"/>
          <w:sz w:val="24"/>
          <w:szCs w:val="24"/>
        </w:rPr>
      </w:pPr>
      <w:r w:rsidRPr="00C94622">
        <w:rPr>
          <w:rFonts w:ascii="Times New Roman" w:hAnsi="Times New Roman" w:cs="Times New Roman"/>
          <w:b/>
          <w:bCs/>
          <w:color w:val="000000" w:themeColor="text1"/>
          <w:sz w:val="24"/>
          <w:szCs w:val="24"/>
        </w:rPr>
        <w:t>Clinical Guidelines</w:t>
      </w:r>
    </w:p>
    <w:p w:rsidR="006F39C3" w:rsidRPr="00C94622" w:rsidRDefault="008B648A" w:rsidP="00C94622">
      <w:pPr>
        <w:spacing w:after="0" w:line="480" w:lineRule="auto"/>
        <w:ind w:firstLine="851"/>
        <w:rPr>
          <w:rFonts w:ascii="Times New Roman" w:hAnsi="Times New Roman" w:cs="Times New Roman"/>
          <w:color w:val="000000" w:themeColor="text1"/>
          <w:sz w:val="24"/>
          <w:szCs w:val="24"/>
        </w:rPr>
      </w:pPr>
      <w:r w:rsidRPr="00C94622">
        <w:rPr>
          <w:rFonts w:ascii="Times New Roman" w:hAnsi="Times New Roman" w:cs="Times New Roman"/>
          <w:color w:val="000000" w:themeColor="text1"/>
          <w:sz w:val="24"/>
          <w:szCs w:val="24"/>
        </w:rPr>
        <w:t xml:space="preserve">The clinical guidelines provide various management strategies that should be carried out to ensure the recovery of patients with gastritis. The guidelines provide that before the management of gastritis patients, it is significant to carry out diagnostic tests that will reveal the presence of the disease. Various procedures help diagnose the condition. H. pylori test is the most common diagnostic test which is done to evaluate the presence of H. pylori bacteria in the gut. The presence of bacteria in the stomach provides evidence for the presence of the disease. The use of endoscopic procedures helps the physician to realize the appearance of the gastrointestinal tract. The physician will view the gut and assess it for the presence of </w:t>
      </w:r>
      <w:r w:rsidR="00E24965" w:rsidRPr="00C94622">
        <w:rPr>
          <w:rFonts w:ascii="Times New Roman" w:hAnsi="Times New Roman" w:cs="Times New Roman"/>
          <w:color w:val="000000" w:themeColor="text1"/>
          <w:sz w:val="24"/>
          <w:szCs w:val="24"/>
        </w:rPr>
        <w:t>ulcerative wounds and inflammation. Imaging tests are also recommended as an effective management plan for the patient because it reveals other possible abnormalities in the gastrointestinal system to prove gastritis. The clinical guidelines provide that the use of antibiotics medications is significant in killing the H. pylori bacteria in the gut</w:t>
      </w:r>
      <w:r w:rsidR="00C94622" w:rsidRPr="00C94622">
        <w:rPr>
          <w:rFonts w:ascii="Times New Roman" w:hAnsi="Times New Roman" w:cs="Times New Roman"/>
          <w:color w:val="000000" w:themeColor="text1"/>
          <w:sz w:val="24"/>
          <w:szCs w:val="24"/>
        </w:rPr>
        <w:t xml:space="preserve"> (</w:t>
      </w:r>
      <w:r w:rsidR="00C94622" w:rsidRPr="00C94622">
        <w:rPr>
          <w:rFonts w:ascii="Times New Roman" w:hAnsi="Times New Roman" w:cs="Times New Roman"/>
          <w:color w:val="000000" w:themeColor="text1"/>
          <w:sz w:val="24"/>
          <w:szCs w:val="24"/>
          <w:shd w:val="clear" w:color="auto" w:fill="FFFFFF"/>
        </w:rPr>
        <w:t>Zagari et al., 2015)</w:t>
      </w:r>
      <w:r w:rsidR="00E24965" w:rsidRPr="00C94622">
        <w:rPr>
          <w:rFonts w:ascii="Times New Roman" w:hAnsi="Times New Roman" w:cs="Times New Roman"/>
          <w:color w:val="000000" w:themeColor="text1"/>
          <w:sz w:val="24"/>
          <w:szCs w:val="24"/>
        </w:rPr>
        <w:t>. The combination of antibiotics, such as amoxicillin or metronidazole and Clarithromycin. The medicine should be prescribed within 7-14 days. Proton pump inhibitors are also significant to prevent acid production in the gut. The drugs that are prescribed for this purpose include pantoprazole, omeprazole, rabeprazole, and esomeprazole. Also, medications that decrease acid production, such as ranitidine and famotidine, are significant. The inclusion of antacids in management is meaningful in preventing side effects such as diarrhea or constipation. Nutritional therapy is also included in the management of patients with gastritis. The patient should be provided with acid-free foods.</w:t>
      </w:r>
    </w:p>
    <w:p w:rsidR="00C94622" w:rsidRDefault="00C94622" w:rsidP="00C94622">
      <w:pPr>
        <w:spacing w:after="0" w:line="480" w:lineRule="auto"/>
        <w:ind w:firstLine="851"/>
        <w:rPr>
          <w:rFonts w:ascii="Times New Roman" w:hAnsi="Times New Roman" w:cs="Times New Roman"/>
          <w:color w:val="000000" w:themeColor="text1"/>
          <w:sz w:val="24"/>
          <w:szCs w:val="24"/>
        </w:rPr>
      </w:pPr>
    </w:p>
    <w:p w:rsidR="00EE33A9" w:rsidRDefault="00EE33A9" w:rsidP="00C94622">
      <w:pPr>
        <w:spacing w:after="0" w:line="480" w:lineRule="auto"/>
        <w:ind w:firstLine="851"/>
        <w:jc w:val="center"/>
        <w:rPr>
          <w:rFonts w:ascii="Times New Roman" w:hAnsi="Times New Roman" w:cs="Times New Roman"/>
          <w:color w:val="000000" w:themeColor="text1"/>
          <w:sz w:val="24"/>
          <w:szCs w:val="24"/>
        </w:rPr>
      </w:pPr>
    </w:p>
    <w:p w:rsidR="00E24965" w:rsidRPr="00C94622" w:rsidRDefault="008B648A" w:rsidP="00C94622">
      <w:pPr>
        <w:spacing w:after="0" w:line="480" w:lineRule="auto"/>
        <w:ind w:firstLine="851"/>
        <w:jc w:val="center"/>
        <w:rPr>
          <w:rFonts w:ascii="Times New Roman" w:hAnsi="Times New Roman" w:cs="Times New Roman"/>
          <w:color w:val="000000" w:themeColor="text1"/>
          <w:sz w:val="24"/>
          <w:szCs w:val="24"/>
        </w:rPr>
      </w:pPr>
      <w:r w:rsidRPr="00C94622">
        <w:rPr>
          <w:rFonts w:ascii="Times New Roman" w:hAnsi="Times New Roman" w:cs="Times New Roman"/>
          <w:color w:val="000000" w:themeColor="text1"/>
          <w:sz w:val="24"/>
          <w:szCs w:val="24"/>
        </w:rPr>
        <w:lastRenderedPageBreak/>
        <w:t>References</w:t>
      </w:r>
    </w:p>
    <w:p w:rsidR="00E24965" w:rsidRPr="00C94622" w:rsidRDefault="008B648A" w:rsidP="00C94622">
      <w:pPr>
        <w:spacing w:after="0" w:line="480" w:lineRule="auto"/>
        <w:ind w:left="851" w:hanging="851"/>
        <w:rPr>
          <w:rFonts w:ascii="Times New Roman" w:hAnsi="Times New Roman" w:cs="Times New Roman"/>
          <w:color w:val="000000" w:themeColor="text1"/>
          <w:sz w:val="24"/>
          <w:szCs w:val="24"/>
          <w:shd w:val="clear" w:color="auto" w:fill="FFFFFF"/>
        </w:rPr>
      </w:pPr>
      <w:r w:rsidRPr="00C94622">
        <w:rPr>
          <w:rFonts w:ascii="Times New Roman" w:hAnsi="Times New Roman" w:cs="Times New Roman"/>
          <w:color w:val="000000" w:themeColor="text1"/>
          <w:sz w:val="24"/>
          <w:szCs w:val="24"/>
          <w:shd w:val="clear" w:color="auto" w:fill="FFFFFF"/>
        </w:rPr>
        <w:t>Sipponen, P., &amp;Maaroos, H. (2015). Chronic gastritis. </w:t>
      </w:r>
      <w:r w:rsidRPr="00C94622">
        <w:rPr>
          <w:rFonts w:ascii="Times New Roman" w:hAnsi="Times New Roman" w:cs="Times New Roman"/>
          <w:i/>
          <w:iCs/>
          <w:color w:val="000000" w:themeColor="text1"/>
          <w:sz w:val="24"/>
          <w:szCs w:val="24"/>
          <w:shd w:val="clear" w:color="auto" w:fill="FFFFFF"/>
        </w:rPr>
        <w:t xml:space="preserve">Scandinavian Journal </w:t>
      </w:r>
      <w:r w:rsidR="00C94622" w:rsidRPr="00C94622">
        <w:rPr>
          <w:rFonts w:ascii="Times New Roman" w:hAnsi="Times New Roman" w:cs="Times New Roman"/>
          <w:i/>
          <w:iCs/>
          <w:color w:val="000000" w:themeColor="text1"/>
          <w:sz w:val="24"/>
          <w:szCs w:val="24"/>
          <w:shd w:val="clear" w:color="auto" w:fill="FFFFFF"/>
        </w:rPr>
        <w:t>of</w:t>
      </w:r>
      <w:r w:rsidRPr="00C94622">
        <w:rPr>
          <w:rFonts w:ascii="Times New Roman" w:hAnsi="Times New Roman" w:cs="Times New Roman"/>
          <w:i/>
          <w:iCs/>
          <w:color w:val="000000" w:themeColor="text1"/>
          <w:sz w:val="24"/>
          <w:szCs w:val="24"/>
          <w:shd w:val="clear" w:color="auto" w:fill="FFFFFF"/>
        </w:rPr>
        <w:t xml:space="preserve"> Gastroenterology</w:t>
      </w:r>
      <w:r w:rsidRPr="00C94622">
        <w:rPr>
          <w:rFonts w:ascii="Times New Roman" w:hAnsi="Times New Roman" w:cs="Times New Roman"/>
          <w:color w:val="000000" w:themeColor="text1"/>
          <w:sz w:val="24"/>
          <w:szCs w:val="24"/>
          <w:shd w:val="clear" w:color="auto" w:fill="FFFFFF"/>
        </w:rPr>
        <w:t>, </w:t>
      </w:r>
      <w:r w:rsidRPr="00C94622">
        <w:rPr>
          <w:rFonts w:ascii="Times New Roman" w:hAnsi="Times New Roman" w:cs="Times New Roman"/>
          <w:i/>
          <w:iCs/>
          <w:color w:val="000000" w:themeColor="text1"/>
          <w:sz w:val="24"/>
          <w:szCs w:val="24"/>
          <w:shd w:val="clear" w:color="auto" w:fill="FFFFFF"/>
        </w:rPr>
        <w:t>50</w:t>
      </w:r>
      <w:r w:rsidRPr="00C94622">
        <w:rPr>
          <w:rFonts w:ascii="Times New Roman" w:hAnsi="Times New Roman" w:cs="Times New Roman"/>
          <w:color w:val="000000" w:themeColor="text1"/>
          <w:sz w:val="24"/>
          <w:szCs w:val="24"/>
          <w:shd w:val="clear" w:color="auto" w:fill="FFFFFF"/>
        </w:rPr>
        <w:t>(6), 657-667. doi: 10.3109/00365521.2015.1019918</w:t>
      </w:r>
    </w:p>
    <w:p w:rsidR="00E24965" w:rsidRPr="00C94622" w:rsidRDefault="008B648A" w:rsidP="00C94622">
      <w:pPr>
        <w:spacing w:after="0" w:line="480" w:lineRule="auto"/>
        <w:ind w:left="851" w:hanging="851"/>
        <w:rPr>
          <w:rFonts w:ascii="Times New Roman" w:hAnsi="Times New Roman" w:cs="Times New Roman"/>
          <w:color w:val="000000" w:themeColor="text1"/>
          <w:sz w:val="24"/>
          <w:szCs w:val="24"/>
        </w:rPr>
      </w:pPr>
      <w:r w:rsidRPr="00C94622">
        <w:rPr>
          <w:rFonts w:ascii="Times New Roman" w:hAnsi="Times New Roman" w:cs="Times New Roman"/>
          <w:color w:val="000000" w:themeColor="text1"/>
          <w:sz w:val="24"/>
          <w:szCs w:val="24"/>
          <w:shd w:val="clear" w:color="auto" w:fill="FFFFFF"/>
        </w:rPr>
        <w:t>Zagari, R., Romano, M., Ojetti, V., Stockbrugger, R., Gullini, S., &amp;Annibale, B. et al. (2015). Guidelines for the management of Helicobacter pylori infection in Italy: The III Working Group Consensus Report 2015. </w:t>
      </w:r>
      <w:r w:rsidRPr="00C94622">
        <w:rPr>
          <w:rFonts w:ascii="Times New Roman" w:hAnsi="Times New Roman" w:cs="Times New Roman"/>
          <w:i/>
          <w:iCs/>
          <w:color w:val="000000" w:themeColor="text1"/>
          <w:sz w:val="24"/>
          <w:szCs w:val="24"/>
          <w:shd w:val="clear" w:color="auto" w:fill="FFFFFF"/>
        </w:rPr>
        <w:t xml:space="preserve">Digestive </w:t>
      </w:r>
      <w:r w:rsidR="00C94622" w:rsidRPr="00C94622">
        <w:rPr>
          <w:rFonts w:ascii="Times New Roman" w:hAnsi="Times New Roman" w:cs="Times New Roman"/>
          <w:i/>
          <w:iCs/>
          <w:color w:val="000000" w:themeColor="text1"/>
          <w:sz w:val="24"/>
          <w:szCs w:val="24"/>
          <w:shd w:val="clear" w:color="auto" w:fill="FFFFFF"/>
        </w:rPr>
        <w:t>and</w:t>
      </w:r>
      <w:r w:rsidRPr="00C94622">
        <w:rPr>
          <w:rFonts w:ascii="Times New Roman" w:hAnsi="Times New Roman" w:cs="Times New Roman"/>
          <w:i/>
          <w:iCs/>
          <w:color w:val="000000" w:themeColor="text1"/>
          <w:sz w:val="24"/>
          <w:szCs w:val="24"/>
          <w:shd w:val="clear" w:color="auto" w:fill="FFFFFF"/>
        </w:rPr>
        <w:t xml:space="preserve"> Liver Disease</w:t>
      </w:r>
      <w:r w:rsidRPr="00C94622">
        <w:rPr>
          <w:rFonts w:ascii="Times New Roman" w:hAnsi="Times New Roman" w:cs="Times New Roman"/>
          <w:color w:val="000000" w:themeColor="text1"/>
          <w:sz w:val="24"/>
          <w:szCs w:val="24"/>
          <w:shd w:val="clear" w:color="auto" w:fill="FFFFFF"/>
        </w:rPr>
        <w:t>, </w:t>
      </w:r>
      <w:r w:rsidRPr="00C94622">
        <w:rPr>
          <w:rFonts w:ascii="Times New Roman" w:hAnsi="Times New Roman" w:cs="Times New Roman"/>
          <w:i/>
          <w:iCs/>
          <w:color w:val="000000" w:themeColor="text1"/>
          <w:sz w:val="24"/>
          <w:szCs w:val="24"/>
          <w:shd w:val="clear" w:color="auto" w:fill="FFFFFF"/>
        </w:rPr>
        <w:t>47</w:t>
      </w:r>
      <w:r w:rsidRPr="00C94622">
        <w:rPr>
          <w:rFonts w:ascii="Times New Roman" w:hAnsi="Times New Roman" w:cs="Times New Roman"/>
          <w:color w:val="000000" w:themeColor="text1"/>
          <w:sz w:val="24"/>
          <w:szCs w:val="24"/>
          <w:shd w:val="clear" w:color="auto" w:fill="FFFFFF"/>
        </w:rPr>
        <w:t>(11), 903-912. doi: 10.1016/j.dld.2015.06.010</w:t>
      </w:r>
    </w:p>
    <w:sectPr w:rsidR="00E24965" w:rsidRPr="00C94622" w:rsidSect="00C9462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838" w:rsidRDefault="00061838">
      <w:pPr>
        <w:spacing w:after="0" w:line="240" w:lineRule="auto"/>
      </w:pPr>
      <w:r>
        <w:separator/>
      </w:r>
    </w:p>
  </w:endnote>
  <w:endnote w:type="continuationSeparator" w:id="1">
    <w:p w:rsidR="00061838" w:rsidRDefault="000618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838" w:rsidRDefault="00061838">
      <w:pPr>
        <w:spacing w:after="0" w:line="240" w:lineRule="auto"/>
      </w:pPr>
      <w:r>
        <w:separator/>
      </w:r>
    </w:p>
  </w:footnote>
  <w:footnote w:type="continuationSeparator" w:id="1">
    <w:p w:rsidR="00061838" w:rsidRDefault="000618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2" w:rsidRPr="00C94622" w:rsidRDefault="00C94622" w:rsidP="00C94622">
    <w:pPr>
      <w:pStyle w:val="Header"/>
      <w:rPr>
        <w:rFonts w:ascii="Times New Roman" w:hAnsi="Times New Roman" w:cs="Times New Roman"/>
        <w:sz w:val="24"/>
        <w:szCs w:val="24"/>
      </w:rPr>
    </w:pPr>
  </w:p>
  <w:p w:rsidR="00C94622" w:rsidRDefault="00C946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2" w:rsidRPr="00C94622" w:rsidRDefault="00C94622" w:rsidP="00C94622">
    <w:pPr>
      <w:pStyle w:val="Header"/>
      <w:rPr>
        <w:rFonts w:ascii="Times New Roman" w:hAnsi="Times New Roman" w:cs="Times New Roman"/>
        <w:sz w:val="24"/>
        <w:szCs w:val="24"/>
      </w:rPr>
    </w:pPr>
  </w:p>
  <w:p w:rsidR="00C94622" w:rsidRDefault="00C946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MwNDMwMzO2tDQ3NzJX0lEKTi0uzszPAykwqgUAdYlIXiwAAAA="/>
  </w:docVars>
  <w:rsids>
    <w:rsidRoot w:val="00377139"/>
    <w:rsid w:val="00022697"/>
    <w:rsid w:val="00061838"/>
    <w:rsid w:val="000D4E64"/>
    <w:rsid w:val="00377139"/>
    <w:rsid w:val="00472529"/>
    <w:rsid w:val="006323F9"/>
    <w:rsid w:val="006D4783"/>
    <w:rsid w:val="006F39C3"/>
    <w:rsid w:val="007F3044"/>
    <w:rsid w:val="00857D7D"/>
    <w:rsid w:val="008B648A"/>
    <w:rsid w:val="008F1926"/>
    <w:rsid w:val="009C0EF0"/>
    <w:rsid w:val="00AC32BA"/>
    <w:rsid w:val="00B060C9"/>
    <w:rsid w:val="00C83361"/>
    <w:rsid w:val="00C94622"/>
    <w:rsid w:val="00E00661"/>
    <w:rsid w:val="00E24965"/>
    <w:rsid w:val="00EE33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6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622"/>
  </w:style>
  <w:style w:type="paragraph" w:styleId="Footer">
    <w:name w:val="footer"/>
    <w:basedOn w:val="Normal"/>
    <w:link w:val="FooterChar"/>
    <w:uiPriority w:val="99"/>
    <w:unhideWhenUsed/>
    <w:rsid w:val="00C94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6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2020-06-17T11:39:00Z</dcterms:created>
  <dcterms:modified xsi:type="dcterms:W3CDTF">2020-06-17T11:40:00Z</dcterms:modified>
</cp:coreProperties>
</file>