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12EEC677" w:rsidR="00DB3A96" w:rsidRDefault="003A2701" w:rsidP="003A2701">
      <w:pPr>
        <w:tabs>
          <w:tab w:val="left" w:pos="4350"/>
        </w:tabs>
        <w:spacing w:line="480" w:lineRule="auto"/>
        <w:ind w:firstLine="720"/>
      </w:pPr>
      <w:r>
        <w:tab/>
      </w: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6C709056" w:rsidR="00DB3A96" w:rsidRPr="00BE14FA" w:rsidRDefault="003B3445" w:rsidP="00DB3A96">
      <w:pPr>
        <w:spacing w:line="480" w:lineRule="auto"/>
        <w:ind w:firstLine="720"/>
        <w:jc w:val="center"/>
        <w:rPr>
          <w:b/>
        </w:rPr>
      </w:pPr>
      <w:r>
        <w:rPr>
          <w:b/>
        </w:rPr>
        <w:t>General Motors Case Analysis</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B0D60AD" w14:textId="5BD7F06D" w:rsidR="00A32E36" w:rsidRPr="003B3445" w:rsidRDefault="003B3445" w:rsidP="00BE14FA">
      <w:pPr>
        <w:tabs>
          <w:tab w:val="left" w:pos="5205"/>
        </w:tabs>
        <w:spacing w:line="480" w:lineRule="auto"/>
        <w:ind w:firstLine="720"/>
        <w:jc w:val="center"/>
      </w:pPr>
      <w:r w:rsidRPr="003B3445">
        <w:lastRenderedPageBreak/>
        <w:t>General Motors Case Analysis</w:t>
      </w:r>
    </w:p>
    <w:p w14:paraId="1E45AFD7" w14:textId="53DEB018" w:rsidR="006F496D" w:rsidRPr="00AC4CEA" w:rsidRDefault="00A64267" w:rsidP="006F496D">
      <w:pPr>
        <w:tabs>
          <w:tab w:val="left" w:pos="5205"/>
        </w:tabs>
        <w:spacing w:line="480" w:lineRule="auto"/>
        <w:ind w:firstLine="720"/>
        <w:jc w:val="center"/>
        <w:rPr>
          <w:b/>
        </w:rPr>
      </w:pPr>
      <w:r w:rsidRPr="00AC4CEA">
        <w:rPr>
          <w:b/>
        </w:rPr>
        <w:t xml:space="preserve">Company Name, </w:t>
      </w:r>
      <w:r w:rsidR="006F496D" w:rsidRPr="00AC4CEA">
        <w:rPr>
          <w:b/>
        </w:rPr>
        <w:t>Website and Industry</w:t>
      </w:r>
    </w:p>
    <w:p w14:paraId="6E81DD50" w14:textId="0F7A8620" w:rsidR="006F496D" w:rsidRDefault="006F496D" w:rsidP="00C26AD8">
      <w:pPr>
        <w:tabs>
          <w:tab w:val="left" w:pos="5205"/>
        </w:tabs>
        <w:spacing w:line="480" w:lineRule="auto"/>
        <w:ind w:firstLine="720"/>
      </w:pPr>
      <w:r>
        <w:t>Company name: General Motors</w:t>
      </w:r>
    </w:p>
    <w:p w14:paraId="6A782096" w14:textId="5932DD8A" w:rsidR="006F496D" w:rsidRDefault="006F496D" w:rsidP="00C26AD8">
      <w:pPr>
        <w:tabs>
          <w:tab w:val="left" w:pos="5205"/>
        </w:tabs>
        <w:spacing w:line="480" w:lineRule="auto"/>
        <w:ind w:firstLine="720"/>
      </w:pPr>
      <w:r>
        <w:t xml:space="preserve">Website: </w:t>
      </w:r>
      <w:hyperlink r:id="rId9" w:history="1">
        <w:r w:rsidRPr="006F496D">
          <w:rPr>
            <w:rStyle w:val="Hyperlink"/>
          </w:rPr>
          <w:t>https://www.gm.com/</w:t>
        </w:r>
      </w:hyperlink>
    </w:p>
    <w:p w14:paraId="0F69D792" w14:textId="65D5BDC9" w:rsidR="006F496D" w:rsidRDefault="006F496D" w:rsidP="00C26AD8">
      <w:pPr>
        <w:tabs>
          <w:tab w:val="left" w:pos="5205"/>
        </w:tabs>
        <w:spacing w:line="480" w:lineRule="auto"/>
        <w:ind w:firstLine="720"/>
      </w:pPr>
      <w:r>
        <w:t>Industry: Automobile Manufacture</w:t>
      </w:r>
    </w:p>
    <w:p w14:paraId="6115CF91" w14:textId="77777777" w:rsidR="006F496D" w:rsidRPr="002A23B6" w:rsidRDefault="006F496D" w:rsidP="006F496D">
      <w:pPr>
        <w:tabs>
          <w:tab w:val="left" w:pos="5205"/>
        </w:tabs>
        <w:spacing w:line="480" w:lineRule="auto"/>
        <w:ind w:firstLine="720"/>
        <w:jc w:val="center"/>
        <w:rPr>
          <w:b/>
        </w:rPr>
      </w:pPr>
      <w:r w:rsidRPr="002A23B6">
        <w:rPr>
          <w:b/>
        </w:rPr>
        <w:t>Background and History</w:t>
      </w:r>
    </w:p>
    <w:p w14:paraId="33C31DC8" w14:textId="1FDED4FD" w:rsidR="002A23B6" w:rsidRPr="002A23B6" w:rsidRDefault="002A23B6" w:rsidP="002A23B6">
      <w:pPr>
        <w:tabs>
          <w:tab w:val="left" w:pos="5205"/>
        </w:tabs>
        <w:spacing w:line="480" w:lineRule="auto"/>
        <w:ind w:firstLine="720"/>
      </w:pPr>
      <w:r w:rsidRPr="002A23B6">
        <w:t>General Motors is an American company whose main operations include designing, building, and selling automobil</w:t>
      </w:r>
      <w:r w:rsidR="003A2701">
        <w:t>es: cars, trucks and crossovers;</w:t>
      </w:r>
      <w:r w:rsidRPr="002A23B6">
        <w:t xml:space="preserve"> and automobile parts. Its products are marketed under Chevrolet, Cadillac, Buick, GMC, Baojun, Wuling, and Holden brands. It operates through subsidiaries, namely GM Financial, Cruise, GM North America, and GM International</w:t>
      </w:r>
      <w:r w:rsidR="00AC4CEA">
        <w:t xml:space="preserve"> (</w:t>
      </w:r>
      <w:r w:rsidR="00AC4CEA" w:rsidRPr="00803AB2">
        <w:rPr>
          <w:rFonts w:eastAsia="Calibri"/>
          <w:bCs/>
        </w:rPr>
        <w:t>Castilla</w:t>
      </w:r>
      <w:r w:rsidR="00AC4CEA">
        <w:rPr>
          <w:rFonts w:eastAsia="Calibri"/>
          <w:bCs/>
        </w:rPr>
        <w:t xml:space="preserve"> et al 2004)</w:t>
      </w:r>
      <w:r w:rsidRPr="002A23B6">
        <w:t>. General Motors was founded in 1908, and its headquarters are in Detroit, Michigan. Ms. Mary T. Barra is the current company CEO and Chairperson. According to the company’s financial data, General Motors generated a revenue of $122.4 billion in the financial year ended 30th December 2020, making a gross profit of $13 billion</w:t>
      </w:r>
      <w:r w:rsidR="00AC4CEA">
        <w:t xml:space="preserve"> (</w:t>
      </w:r>
      <w:r w:rsidR="00AC4CEA">
        <w:rPr>
          <w:rFonts w:eastAsia="Calibri"/>
          <w:bCs/>
        </w:rPr>
        <w:t>Yahoo! Finance, 2021)</w:t>
      </w:r>
      <w:r w:rsidRPr="002A23B6">
        <w:t>.</w:t>
      </w:r>
    </w:p>
    <w:p w14:paraId="5F5A41DE" w14:textId="70E0033B" w:rsidR="002A23B6" w:rsidRPr="002A23B6" w:rsidRDefault="002A23B6" w:rsidP="002A23B6">
      <w:pPr>
        <w:tabs>
          <w:tab w:val="left" w:pos="5205"/>
        </w:tabs>
        <w:spacing w:line="480" w:lineRule="auto"/>
        <w:ind w:firstLine="720"/>
      </w:pPr>
      <w:r w:rsidRPr="002A23B6">
        <w:t xml:space="preserve">The company has undergone a rigorous shift towards the manufacture of electric vehicles for the past decade. Their dream statement </w:t>
      </w:r>
      <w:r w:rsidR="00AC4CEA">
        <w:t xml:space="preserve">now states </w:t>
      </w:r>
      <w:r w:rsidRPr="002A23B6">
        <w:t>that they intend to create a world with zero crashes, zero emissions, and zero congestion. General Motor’s performance in the vehicle manufacture industry is currently behind Tesla and Ford Motors. However, the company has kept a high profile, changing the car models with technology changes</w:t>
      </w:r>
      <w:r w:rsidR="00AC4CEA">
        <w:t xml:space="preserve"> (</w:t>
      </w:r>
      <w:r w:rsidR="00AC4CEA">
        <w:rPr>
          <w:rFonts w:eastAsia="Calibri"/>
          <w:bCs/>
        </w:rPr>
        <w:t>Yahoo! Finance, 2021)</w:t>
      </w:r>
      <w:r w:rsidRPr="002A23B6">
        <w:t>. Their major technological focus includes smart driver, in-vehicle marketplace commerce, SiriusXM with 360L, wireless 4G connectivity, and connected navigation.</w:t>
      </w:r>
    </w:p>
    <w:p w14:paraId="249DD50A" w14:textId="77777777" w:rsidR="002A23B6" w:rsidRPr="002A23B6" w:rsidRDefault="002A23B6" w:rsidP="002A23B6">
      <w:pPr>
        <w:tabs>
          <w:tab w:val="left" w:pos="5205"/>
        </w:tabs>
        <w:spacing w:line="480" w:lineRule="auto"/>
        <w:ind w:firstLine="720"/>
        <w:jc w:val="center"/>
      </w:pPr>
      <w:r w:rsidRPr="002A23B6">
        <w:rPr>
          <w:b/>
          <w:bCs/>
        </w:rPr>
        <w:t>Analysis via Porter’s Five Forces Model</w:t>
      </w:r>
    </w:p>
    <w:p w14:paraId="5602AFFB" w14:textId="2E14E580" w:rsidR="002A23B6" w:rsidRPr="002A23B6" w:rsidRDefault="002A23B6" w:rsidP="002A23B6">
      <w:pPr>
        <w:tabs>
          <w:tab w:val="left" w:pos="5205"/>
        </w:tabs>
        <w:spacing w:line="480" w:lineRule="auto"/>
        <w:ind w:firstLine="720"/>
      </w:pPr>
      <w:r w:rsidRPr="002A23B6">
        <w:t xml:space="preserve">General Motors is affected differently by Porter’s Five Forces. The risk of new entrants is low due to the difficult processes and high capital required to establish a vehicle manufacturing company. The supplier power for General Motors could be moderately high due to the demand, especially for AC and DC batteries, technological chips, and other mechanically essential raw materials. The buyer bargaining power is moderate because, although competition has been stiff recently, General Motor’s brands have gained a significant consumer </w:t>
      </w:r>
      <w:r w:rsidR="00AC4CEA" w:rsidRPr="002A23B6">
        <w:t>base</w:t>
      </w:r>
      <w:r w:rsidR="00AC4CEA">
        <w:t xml:space="preserve"> (</w:t>
      </w:r>
      <w:r w:rsidR="00AC4CEA">
        <w:rPr>
          <w:rFonts w:eastAsia="Calibri"/>
          <w:bCs/>
        </w:rPr>
        <w:t>General Motors, 2021)</w:t>
      </w:r>
      <w:r w:rsidRPr="002A23B6">
        <w:t>. The threat of substitute products is low for General Motors because consumers do not prioritize public transport except where circumstances require them. Competition rivalry for the company is low due to the small number of automobile manufacturers in the United States, General Motor’s largest market, and the world.</w:t>
      </w:r>
    </w:p>
    <w:p w14:paraId="294836A6" w14:textId="2E38758F" w:rsidR="00F74B69" w:rsidRDefault="00E03459" w:rsidP="00E7282D">
      <w:pPr>
        <w:tabs>
          <w:tab w:val="left" w:pos="5205"/>
        </w:tabs>
        <w:spacing w:line="480" w:lineRule="auto"/>
        <w:ind w:firstLine="720"/>
      </w:pPr>
      <w:r>
        <w:rPr>
          <w:noProof/>
        </w:rPr>
        <w:drawing>
          <wp:inline distT="0" distB="0" distL="0" distR="0" wp14:anchorId="4702AF9D" wp14:editId="3AB7340B">
            <wp:extent cx="5095875" cy="2114550"/>
            <wp:effectExtent l="0" t="57150" r="0" b="571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C434477" w14:textId="12A0CF87" w:rsidR="00457330" w:rsidRPr="00AC4CEA" w:rsidRDefault="00457330" w:rsidP="00AC4CEA">
      <w:pPr>
        <w:tabs>
          <w:tab w:val="left" w:pos="5205"/>
        </w:tabs>
        <w:spacing w:line="480" w:lineRule="auto"/>
        <w:ind w:firstLine="720"/>
        <w:jc w:val="center"/>
        <w:rPr>
          <w:b/>
        </w:rPr>
      </w:pPr>
      <w:r w:rsidRPr="00AC4CEA">
        <w:rPr>
          <w:b/>
        </w:rPr>
        <w:t>Strategies Used</w:t>
      </w:r>
    </w:p>
    <w:p w14:paraId="37F281B7" w14:textId="6F8EEE1B" w:rsidR="00AC4CEA" w:rsidRPr="00AC4CEA" w:rsidRDefault="00AC4CEA" w:rsidP="00AC4CEA">
      <w:pPr>
        <w:tabs>
          <w:tab w:val="left" w:pos="5205"/>
        </w:tabs>
        <w:spacing w:line="480" w:lineRule="auto"/>
        <w:ind w:firstLine="720"/>
      </w:pPr>
      <w:r w:rsidRPr="00AC4CEA">
        <w:rPr>
          <w:b/>
          <w:bCs/>
        </w:rPr>
        <w:t>Industry Life Cycle Strategies:</w:t>
      </w:r>
      <w:r w:rsidRPr="00AC4CEA">
        <w:t> Since the late 19th century, the vehicle manufacturing industry has seen series of changes as innovations take root and market preferences change. General Motors have used industry life cycle strategies to cope with the radical changes. This resilience has been made possible by the detection of changes in tastes and preferences, strategic positioning, and immense marketing</w:t>
      </w:r>
      <w:r>
        <w:t xml:space="preserve"> (</w:t>
      </w:r>
      <w:r>
        <w:rPr>
          <w:rFonts w:eastAsia="Calibri"/>
          <w:bCs/>
        </w:rPr>
        <w:t>General Motors, 2021)</w:t>
      </w:r>
      <w:r w:rsidRPr="00AC4CEA">
        <w:t>.</w:t>
      </w:r>
    </w:p>
    <w:p w14:paraId="6D672A49" w14:textId="5544A205" w:rsidR="00AC4CEA" w:rsidRPr="00AC4CEA" w:rsidRDefault="00AC4CEA" w:rsidP="00AC4CEA">
      <w:pPr>
        <w:tabs>
          <w:tab w:val="left" w:pos="5205"/>
        </w:tabs>
        <w:spacing w:line="480" w:lineRule="auto"/>
        <w:ind w:firstLine="720"/>
      </w:pPr>
      <w:r w:rsidRPr="00AC4CEA">
        <w:rPr>
          <w:b/>
          <w:bCs/>
        </w:rPr>
        <w:t>Ensuring Coherence in Strategic Direction:</w:t>
      </w:r>
      <w:r w:rsidRPr="00AC4CEA">
        <w:t> General Motors has maintained a consistent mission of providing distinguished services while improving livelihoods. Or the years, the company has ensured that its brands contain services that consumers can only get in General Motors Products</w:t>
      </w:r>
      <w:r>
        <w:t xml:space="preserve"> (</w:t>
      </w:r>
      <w:r>
        <w:rPr>
          <w:rFonts w:eastAsia="Calibri"/>
          <w:bCs/>
        </w:rPr>
        <w:t>General Motors, 2021)</w:t>
      </w:r>
      <w:r w:rsidRPr="00AC4CEA">
        <w:t>. It has also ensured that its products are of a high standard and contains the most recent and popular technology.</w:t>
      </w:r>
    </w:p>
    <w:p w14:paraId="29CE266F" w14:textId="77777777" w:rsidR="00AC4CEA" w:rsidRPr="00AC4CEA" w:rsidRDefault="00AC4CEA" w:rsidP="00AC4CEA">
      <w:pPr>
        <w:tabs>
          <w:tab w:val="left" w:pos="5205"/>
        </w:tabs>
        <w:spacing w:line="480" w:lineRule="auto"/>
        <w:ind w:firstLine="720"/>
        <w:jc w:val="center"/>
        <w:rPr>
          <w:b/>
        </w:rPr>
      </w:pPr>
      <w:r w:rsidRPr="00AC4CEA">
        <w:rPr>
          <w:b/>
        </w:rPr>
        <w:t>The course of Action Recommended</w:t>
      </w:r>
    </w:p>
    <w:p w14:paraId="64A54A29" w14:textId="77777777" w:rsidR="00AC4CEA" w:rsidRPr="00AC4CEA" w:rsidRDefault="00AC4CEA" w:rsidP="00AC4CEA">
      <w:pPr>
        <w:tabs>
          <w:tab w:val="left" w:pos="5205"/>
        </w:tabs>
        <w:spacing w:line="480" w:lineRule="auto"/>
        <w:ind w:firstLine="720"/>
      </w:pPr>
      <w:r w:rsidRPr="00AC4CEA">
        <w:t>To retain a competitive advantage, General Motors, which had been losing its market share recently, should focus not only on electric vehicles but also efficient, reliable, secure, and affordable ones. The current market requires vehicles with robotic features to provide assistance to the user in almost every aspect of their lives. Furthermore, General Motors may choose to make their vehicles more secure, following their vision statement and their charging stations more efficient and long-lasting. Thus, consumers would neither have to wait twenty hours for their vehicle batteries to be fully charged nor make frequent recharge stops during a trip.</w:t>
      </w:r>
    </w:p>
    <w:p w14:paraId="341AFEEE" w14:textId="77777777" w:rsidR="00AC4CEA" w:rsidRPr="00AC4CEA" w:rsidRDefault="00AC4CEA" w:rsidP="00AC4CEA">
      <w:pPr>
        <w:tabs>
          <w:tab w:val="left" w:pos="5205"/>
        </w:tabs>
        <w:spacing w:line="480" w:lineRule="auto"/>
        <w:ind w:firstLine="720"/>
        <w:jc w:val="center"/>
        <w:rPr>
          <w:b/>
        </w:rPr>
      </w:pPr>
      <w:r w:rsidRPr="00AC4CEA">
        <w:rPr>
          <w:b/>
        </w:rPr>
        <w:t>Opinion</w:t>
      </w:r>
    </w:p>
    <w:p w14:paraId="3F8A8A93" w14:textId="10623604" w:rsidR="00961DC7" w:rsidRDefault="00AC4CEA" w:rsidP="00E7282D">
      <w:pPr>
        <w:tabs>
          <w:tab w:val="left" w:pos="5205"/>
        </w:tabs>
        <w:spacing w:line="480" w:lineRule="auto"/>
        <w:ind w:firstLine="720"/>
      </w:pPr>
      <w:r w:rsidRPr="00AC4CEA">
        <w:t>This case study has provided me with lessons about the corporate world and the several factors that drive company decisions – most importantly, Porter's five forces. With the case study, Porter's five forces that define a company's competitive advantages become clear. A company's decision-making process is largely influenced by other players in the market.</w:t>
      </w:r>
    </w:p>
    <w:p w14:paraId="1DC34E11" w14:textId="0479BDB2" w:rsidR="00A32E36" w:rsidRDefault="00A32E36" w:rsidP="00B65F71">
      <w:pPr>
        <w:tabs>
          <w:tab w:val="left" w:pos="720"/>
        </w:tabs>
        <w:spacing w:line="480" w:lineRule="auto"/>
        <w:rPr>
          <w:rFonts w:eastAsia="Calibri"/>
        </w:rPr>
      </w:pP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16DEC700" w14:textId="44B24A80" w:rsidR="00803AB2" w:rsidRDefault="00803AB2" w:rsidP="000B65F2">
      <w:pPr>
        <w:tabs>
          <w:tab w:val="left" w:pos="720"/>
        </w:tabs>
        <w:spacing w:line="480" w:lineRule="auto"/>
        <w:ind w:left="720" w:hanging="720"/>
        <w:rPr>
          <w:rFonts w:eastAsia="Calibri"/>
          <w:bCs/>
        </w:rPr>
      </w:pPr>
      <w:r w:rsidRPr="00803AB2">
        <w:rPr>
          <w:rFonts w:eastAsia="Calibri"/>
          <w:bCs/>
        </w:rPr>
        <w:t>Castilla, C., Mayande, N. V., Suarez, I., &amp; Talebi, A. (2004). Strategic Analysis of General Motors.</w:t>
      </w:r>
    </w:p>
    <w:p w14:paraId="651DA7F5" w14:textId="5F1E1A4B" w:rsidR="002A23B6" w:rsidRPr="002A23B6" w:rsidRDefault="002A23B6" w:rsidP="002A23B6">
      <w:pPr>
        <w:tabs>
          <w:tab w:val="left" w:pos="720"/>
        </w:tabs>
        <w:spacing w:line="480" w:lineRule="auto"/>
        <w:ind w:left="720" w:hanging="720"/>
        <w:rPr>
          <w:rFonts w:eastAsia="Calibri"/>
          <w:b/>
          <w:bCs/>
        </w:rPr>
      </w:pPr>
      <w:r>
        <w:rPr>
          <w:rFonts w:eastAsia="Calibri"/>
          <w:bCs/>
        </w:rPr>
        <w:t xml:space="preserve">General Motors. (2021). </w:t>
      </w:r>
      <w:r w:rsidRPr="002A23B6">
        <w:rPr>
          <w:rFonts w:eastAsia="Calibri"/>
          <w:bCs/>
        </w:rPr>
        <w:t>ELECTRIFICATION: Adding EV Charging Stations on Our Journey Toward an All-Electric Future</w:t>
      </w:r>
      <w:r>
        <w:rPr>
          <w:rFonts w:eastAsia="Calibri"/>
          <w:bCs/>
        </w:rPr>
        <w:t xml:space="preserve">. </w:t>
      </w:r>
      <w:hyperlink r:id="rId15" w:history="1">
        <w:r w:rsidRPr="002A23B6">
          <w:rPr>
            <w:rStyle w:val="Hyperlink"/>
            <w:rFonts w:eastAsia="Calibri"/>
            <w:bCs/>
          </w:rPr>
          <w:t>https://www.gm.com/masthead-story/electric-charging-stations-infrastructure.html</w:t>
        </w:r>
      </w:hyperlink>
    </w:p>
    <w:p w14:paraId="30C370AC" w14:textId="1D086DBD" w:rsidR="00803AB2" w:rsidRPr="00803AB2" w:rsidRDefault="00803AB2" w:rsidP="00803AB2">
      <w:pPr>
        <w:tabs>
          <w:tab w:val="left" w:pos="720"/>
        </w:tabs>
        <w:spacing w:line="480" w:lineRule="auto"/>
        <w:ind w:left="720" w:hanging="720"/>
        <w:rPr>
          <w:rFonts w:eastAsia="Calibri"/>
          <w:bCs/>
        </w:rPr>
      </w:pPr>
      <w:r w:rsidRPr="00803AB2">
        <w:rPr>
          <w:rFonts w:eastAsia="Calibri"/>
          <w:bCs/>
        </w:rPr>
        <w:t>Yahoo! Finance. (2021). General Motors Company (GM)</w:t>
      </w:r>
      <w:r>
        <w:rPr>
          <w:rFonts w:eastAsia="Calibri"/>
          <w:bCs/>
        </w:rPr>
        <w:t xml:space="preserve">: Income Statement. </w:t>
      </w:r>
      <w:hyperlink r:id="rId16" w:history="1">
        <w:r w:rsidRPr="00803AB2">
          <w:rPr>
            <w:rStyle w:val="Hyperlink"/>
            <w:rFonts w:eastAsia="Calibri"/>
            <w:bCs/>
          </w:rPr>
          <w:t>khttps://finance.yahoo.com/quote/GM/financials?p=GM</w:t>
        </w:r>
      </w:hyperlink>
    </w:p>
    <w:p w14:paraId="7D0F42D6" w14:textId="027B641C" w:rsidR="00803AB2" w:rsidRDefault="00803AB2" w:rsidP="000B65F2">
      <w:pPr>
        <w:tabs>
          <w:tab w:val="left" w:pos="720"/>
        </w:tabs>
        <w:spacing w:line="480" w:lineRule="auto"/>
        <w:ind w:left="720" w:hanging="720"/>
        <w:rPr>
          <w:rFonts w:eastAsia="Calibri"/>
          <w:bCs/>
        </w:rPr>
      </w:pPr>
    </w:p>
    <w:p w14:paraId="2932F613" w14:textId="77777777" w:rsidR="000B65F2" w:rsidRPr="000B65F2" w:rsidRDefault="000B65F2" w:rsidP="000B65F2">
      <w:pPr>
        <w:tabs>
          <w:tab w:val="left" w:pos="720"/>
        </w:tabs>
        <w:spacing w:line="480" w:lineRule="auto"/>
        <w:ind w:left="720" w:hanging="720"/>
        <w:rPr>
          <w:rFonts w:eastAsia="Calibri"/>
          <w:bCs/>
        </w:rPr>
      </w:pP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3A2701">
      <w:headerReference w:type="default" r:id="rId1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C503E" w14:textId="77777777" w:rsidR="00D15026" w:rsidRDefault="00D15026">
      <w:pPr>
        <w:spacing w:after="0" w:line="240" w:lineRule="auto"/>
      </w:pPr>
      <w:r>
        <w:separator/>
      </w:r>
    </w:p>
  </w:endnote>
  <w:endnote w:type="continuationSeparator" w:id="0">
    <w:p w14:paraId="09EBB0D7" w14:textId="77777777" w:rsidR="00D15026" w:rsidRDefault="00D15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4C2B3" w14:textId="77777777" w:rsidR="00D15026" w:rsidRDefault="00D15026">
      <w:pPr>
        <w:spacing w:after="0" w:line="240" w:lineRule="auto"/>
      </w:pPr>
      <w:r>
        <w:separator/>
      </w:r>
    </w:p>
  </w:footnote>
  <w:footnote w:type="continuationSeparator" w:id="0">
    <w:p w14:paraId="17C00560" w14:textId="77777777" w:rsidR="00D15026" w:rsidRDefault="00D150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933964"/>
      <w:docPartObj>
        <w:docPartGallery w:val="Page Numbers (Top of Page)"/>
        <w:docPartUnique/>
      </w:docPartObj>
    </w:sdtPr>
    <w:sdtEndPr>
      <w:rPr>
        <w:noProof/>
      </w:rPr>
    </w:sdtEndPr>
    <w:sdtContent>
      <w:p w14:paraId="1DA5E952" w14:textId="45EA8664" w:rsidR="003A2701" w:rsidRDefault="003A2701">
        <w:pPr>
          <w:pStyle w:val="Header"/>
          <w:jc w:val="right"/>
        </w:pPr>
        <w:r>
          <w:fldChar w:fldCharType="begin"/>
        </w:r>
        <w:r>
          <w:instrText xml:space="preserve"> PAGE   \* MERGEFORMAT </w:instrText>
        </w:r>
        <w:r>
          <w:fldChar w:fldCharType="separate"/>
        </w:r>
        <w:r w:rsidR="00D15026">
          <w:rPr>
            <w:noProof/>
          </w:rPr>
          <w:t>1</w:t>
        </w:r>
        <w:r>
          <w:rPr>
            <w:noProof/>
          </w:rPr>
          <w:fldChar w:fldCharType="end"/>
        </w:r>
      </w:p>
    </w:sdtContent>
  </w:sdt>
  <w:p w14:paraId="6DA9CCC0" w14:textId="77777777" w:rsidR="003A2701" w:rsidRDefault="003A27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82D4F"/>
    <w:rsid w:val="000858DE"/>
    <w:rsid w:val="000942A1"/>
    <w:rsid w:val="000A3DCB"/>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936"/>
    <w:rsid w:val="0025568D"/>
    <w:rsid w:val="00274616"/>
    <w:rsid w:val="00283A80"/>
    <w:rsid w:val="00295E67"/>
    <w:rsid w:val="002A23B6"/>
    <w:rsid w:val="002A3E80"/>
    <w:rsid w:val="002A5C2E"/>
    <w:rsid w:val="002A7EF0"/>
    <w:rsid w:val="002B4377"/>
    <w:rsid w:val="002B570E"/>
    <w:rsid w:val="002E42EA"/>
    <w:rsid w:val="002E5CCB"/>
    <w:rsid w:val="00312ECD"/>
    <w:rsid w:val="00325EA2"/>
    <w:rsid w:val="00327972"/>
    <w:rsid w:val="00331569"/>
    <w:rsid w:val="00341A79"/>
    <w:rsid w:val="003746A0"/>
    <w:rsid w:val="00391085"/>
    <w:rsid w:val="00395827"/>
    <w:rsid w:val="003A2701"/>
    <w:rsid w:val="003A39A5"/>
    <w:rsid w:val="003A4C4D"/>
    <w:rsid w:val="003B3445"/>
    <w:rsid w:val="003B67B6"/>
    <w:rsid w:val="003C0699"/>
    <w:rsid w:val="003D1C0B"/>
    <w:rsid w:val="003E0DF3"/>
    <w:rsid w:val="00400081"/>
    <w:rsid w:val="004011FA"/>
    <w:rsid w:val="0041003C"/>
    <w:rsid w:val="00411C50"/>
    <w:rsid w:val="0042628F"/>
    <w:rsid w:val="00430421"/>
    <w:rsid w:val="004443AA"/>
    <w:rsid w:val="00445721"/>
    <w:rsid w:val="00457330"/>
    <w:rsid w:val="004575B8"/>
    <w:rsid w:val="00461393"/>
    <w:rsid w:val="0048015A"/>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62A86"/>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D19CB"/>
    <w:rsid w:val="006E14E5"/>
    <w:rsid w:val="006E4A0E"/>
    <w:rsid w:val="006E6301"/>
    <w:rsid w:val="006E68AE"/>
    <w:rsid w:val="006E72B6"/>
    <w:rsid w:val="006F496D"/>
    <w:rsid w:val="006F5729"/>
    <w:rsid w:val="007040C0"/>
    <w:rsid w:val="00711A6B"/>
    <w:rsid w:val="00717001"/>
    <w:rsid w:val="007258C6"/>
    <w:rsid w:val="0073766B"/>
    <w:rsid w:val="00737891"/>
    <w:rsid w:val="00750E45"/>
    <w:rsid w:val="00764CD8"/>
    <w:rsid w:val="007811A5"/>
    <w:rsid w:val="007856BC"/>
    <w:rsid w:val="007907D2"/>
    <w:rsid w:val="0079459F"/>
    <w:rsid w:val="00795EA9"/>
    <w:rsid w:val="007A5397"/>
    <w:rsid w:val="007C41A8"/>
    <w:rsid w:val="007D4494"/>
    <w:rsid w:val="007E7A9F"/>
    <w:rsid w:val="007E7C0A"/>
    <w:rsid w:val="0080071D"/>
    <w:rsid w:val="00803AB2"/>
    <w:rsid w:val="00811881"/>
    <w:rsid w:val="008139E8"/>
    <w:rsid w:val="0082148C"/>
    <w:rsid w:val="00837F8B"/>
    <w:rsid w:val="0085766B"/>
    <w:rsid w:val="00871AF1"/>
    <w:rsid w:val="008833F3"/>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1DC7"/>
    <w:rsid w:val="00962EF5"/>
    <w:rsid w:val="009649B3"/>
    <w:rsid w:val="00983CF5"/>
    <w:rsid w:val="00990F8C"/>
    <w:rsid w:val="0099419B"/>
    <w:rsid w:val="009C5022"/>
    <w:rsid w:val="009E5128"/>
    <w:rsid w:val="009E6ABA"/>
    <w:rsid w:val="009F00AE"/>
    <w:rsid w:val="00A021D2"/>
    <w:rsid w:val="00A067C5"/>
    <w:rsid w:val="00A109A6"/>
    <w:rsid w:val="00A15DAA"/>
    <w:rsid w:val="00A21CAB"/>
    <w:rsid w:val="00A23F14"/>
    <w:rsid w:val="00A305D2"/>
    <w:rsid w:val="00A32E36"/>
    <w:rsid w:val="00A42C2D"/>
    <w:rsid w:val="00A61B94"/>
    <w:rsid w:val="00A64267"/>
    <w:rsid w:val="00A65313"/>
    <w:rsid w:val="00A6674A"/>
    <w:rsid w:val="00A7614D"/>
    <w:rsid w:val="00A908CB"/>
    <w:rsid w:val="00A91C43"/>
    <w:rsid w:val="00A9271E"/>
    <w:rsid w:val="00A935B4"/>
    <w:rsid w:val="00A95C54"/>
    <w:rsid w:val="00AA0EB5"/>
    <w:rsid w:val="00AA57E2"/>
    <w:rsid w:val="00AA6F5A"/>
    <w:rsid w:val="00AA78E6"/>
    <w:rsid w:val="00AB1CE7"/>
    <w:rsid w:val="00AB2B19"/>
    <w:rsid w:val="00AC4CEA"/>
    <w:rsid w:val="00AC5101"/>
    <w:rsid w:val="00AD42BE"/>
    <w:rsid w:val="00AD78D0"/>
    <w:rsid w:val="00AF7454"/>
    <w:rsid w:val="00B006F3"/>
    <w:rsid w:val="00B106F8"/>
    <w:rsid w:val="00B1427D"/>
    <w:rsid w:val="00B25020"/>
    <w:rsid w:val="00B31994"/>
    <w:rsid w:val="00B34385"/>
    <w:rsid w:val="00B3541B"/>
    <w:rsid w:val="00B44FE2"/>
    <w:rsid w:val="00B53B90"/>
    <w:rsid w:val="00B640FD"/>
    <w:rsid w:val="00B651CF"/>
    <w:rsid w:val="00B65F71"/>
    <w:rsid w:val="00B67E66"/>
    <w:rsid w:val="00BB59BC"/>
    <w:rsid w:val="00BD02AE"/>
    <w:rsid w:val="00BE14FA"/>
    <w:rsid w:val="00C01E80"/>
    <w:rsid w:val="00C0278D"/>
    <w:rsid w:val="00C03D28"/>
    <w:rsid w:val="00C07BA3"/>
    <w:rsid w:val="00C11D01"/>
    <w:rsid w:val="00C16B86"/>
    <w:rsid w:val="00C24DE0"/>
    <w:rsid w:val="00C26AD8"/>
    <w:rsid w:val="00C416EC"/>
    <w:rsid w:val="00C419FC"/>
    <w:rsid w:val="00C542EA"/>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15026"/>
    <w:rsid w:val="00D32346"/>
    <w:rsid w:val="00D40778"/>
    <w:rsid w:val="00D45C99"/>
    <w:rsid w:val="00D64CD9"/>
    <w:rsid w:val="00D67C9C"/>
    <w:rsid w:val="00D7670B"/>
    <w:rsid w:val="00D77B78"/>
    <w:rsid w:val="00D824D6"/>
    <w:rsid w:val="00D92310"/>
    <w:rsid w:val="00D97D06"/>
    <w:rsid w:val="00DB3A96"/>
    <w:rsid w:val="00DC03AF"/>
    <w:rsid w:val="00DD0658"/>
    <w:rsid w:val="00DD20F7"/>
    <w:rsid w:val="00DD5252"/>
    <w:rsid w:val="00DD64D2"/>
    <w:rsid w:val="00DF099D"/>
    <w:rsid w:val="00DF46A2"/>
    <w:rsid w:val="00DF48E8"/>
    <w:rsid w:val="00E03459"/>
    <w:rsid w:val="00E125BE"/>
    <w:rsid w:val="00E17691"/>
    <w:rsid w:val="00E2107F"/>
    <w:rsid w:val="00E46D5E"/>
    <w:rsid w:val="00E65939"/>
    <w:rsid w:val="00E7282D"/>
    <w:rsid w:val="00E906C8"/>
    <w:rsid w:val="00E96A0F"/>
    <w:rsid w:val="00EA2B88"/>
    <w:rsid w:val="00EB1658"/>
    <w:rsid w:val="00EB5C19"/>
    <w:rsid w:val="00EC2021"/>
    <w:rsid w:val="00EC6032"/>
    <w:rsid w:val="00ED741D"/>
    <w:rsid w:val="00F03B24"/>
    <w:rsid w:val="00F1259D"/>
    <w:rsid w:val="00F12AB4"/>
    <w:rsid w:val="00F1331E"/>
    <w:rsid w:val="00F36C89"/>
    <w:rsid w:val="00F53D5E"/>
    <w:rsid w:val="00F57324"/>
    <w:rsid w:val="00F74B69"/>
    <w:rsid w:val="00F8424F"/>
    <w:rsid w:val="00F8558A"/>
    <w:rsid w:val="00F85E1F"/>
    <w:rsid w:val="00F94065"/>
    <w:rsid w:val="00F95CD4"/>
    <w:rsid w:val="00FA243D"/>
    <w:rsid w:val="00FA5A8D"/>
    <w:rsid w:val="00FC6AFD"/>
    <w:rsid w:val="00FD2597"/>
    <w:rsid w:val="00FD35D7"/>
    <w:rsid w:val="00FE0AD8"/>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3303">
      <w:bodyDiv w:val="1"/>
      <w:marLeft w:val="0"/>
      <w:marRight w:val="0"/>
      <w:marTop w:val="0"/>
      <w:marBottom w:val="0"/>
      <w:divBdr>
        <w:top w:val="none" w:sz="0" w:space="0" w:color="auto"/>
        <w:left w:val="none" w:sz="0" w:space="0" w:color="auto"/>
        <w:bottom w:val="none" w:sz="0" w:space="0" w:color="auto"/>
        <w:right w:val="none" w:sz="0" w:space="0" w:color="auto"/>
      </w:divBdr>
    </w:div>
    <w:div w:id="290793568">
      <w:bodyDiv w:val="1"/>
      <w:marLeft w:val="0"/>
      <w:marRight w:val="0"/>
      <w:marTop w:val="0"/>
      <w:marBottom w:val="0"/>
      <w:divBdr>
        <w:top w:val="none" w:sz="0" w:space="0" w:color="auto"/>
        <w:left w:val="none" w:sz="0" w:space="0" w:color="auto"/>
        <w:bottom w:val="none" w:sz="0" w:space="0" w:color="auto"/>
        <w:right w:val="none" w:sz="0" w:space="0" w:color="auto"/>
      </w:divBdr>
      <w:divsChild>
        <w:div w:id="305430325">
          <w:marLeft w:val="0"/>
          <w:marRight w:val="300"/>
          <w:marTop w:val="0"/>
          <w:marBottom w:val="0"/>
          <w:divBdr>
            <w:top w:val="none" w:sz="0" w:space="0" w:color="auto"/>
            <w:left w:val="none" w:sz="0" w:space="0" w:color="auto"/>
            <w:bottom w:val="none" w:sz="0" w:space="0" w:color="auto"/>
            <w:right w:val="none" w:sz="0" w:space="0" w:color="auto"/>
          </w:divBdr>
          <w:divsChild>
            <w:div w:id="1182552671">
              <w:marLeft w:val="0"/>
              <w:marRight w:val="0"/>
              <w:marTop w:val="0"/>
              <w:marBottom w:val="0"/>
              <w:divBdr>
                <w:top w:val="none" w:sz="0" w:space="0" w:color="auto"/>
                <w:left w:val="none" w:sz="0" w:space="0" w:color="auto"/>
                <w:bottom w:val="none" w:sz="0" w:space="0" w:color="auto"/>
                <w:right w:val="none" w:sz="0" w:space="0" w:color="auto"/>
              </w:divBdr>
            </w:div>
            <w:div w:id="95822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16331">
      <w:bodyDiv w:val="1"/>
      <w:marLeft w:val="0"/>
      <w:marRight w:val="0"/>
      <w:marTop w:val="0"/>
      <w:marBottom w:val="0"/>
      <w:divBdr>
        <w:top w:val="none" w:sz="0" w:space="0" w:color="auto"/>
        <w:left w:val="none" w:sz="0" w:space="0" w:color="auto"/>
        <w:bottom w:val="none" w:sz="0" w:space="0" w:color="auto"/>
        <w:right w:val="none" w:sz="0" w:space="0" w:color="auto"/>
      </w:divBdr>
    </w:div>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690910026">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723481411">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751656960">
      <w:bodyDiv w:val="1"/>
      <w:marLeft w:val="0"/>
      <w:marRight w:val="0"/>
      <w:marTop w:val="0"/>
      <w:marBottom w:val="0"/>
      <w:divBdr>
        <w:top w:val="none" w:sz="0" w:space="0" w:color="auto"/>
        <w:left w:val="none" w:sz="0" w:space="0" w:color="auto"/>
        <w:bottom w:val="none" w:sz="0" w:space="0" w:color="auto"/>
        <w:right w:val="none" w:sz="0" w:space="0" w:color="auto"/>
      </w:divBdr>
      <w:divsChild>
        <w:div w:id="2109156224">
          <w:marLeft w:val="0"/>
          <w:marRight w:val="300"/>
          <w:marTop w:val="0"/>
          <w:marBottom w:val="0"/>
          <w:divBdr>
            <w:top w:val="none" w:sz="0" w:space="0" w:color="auto"/>
            <w:left w:val="none" w:sz="0" w:space="0" w:color="auto"/>
            <w:bottom w:val="none" w:sz="0" w:space="0" w:color="auto"/>
            <w:right w:val="none" w:sz="0" w:space="0" w:color="auto"/>
          </w:divBdr>
          <w:divsChild>
            <w:div w:id="1525172729">
              <w:marLeft w:val="0"/>
              <w:marRight w:val="0"/>
              <w:marTop w:val="0"/>
              <w:marBottom w:val="0"/>
              <w:divBdr>
                <w:top w:val="none" w:sz="0" w:space="0" w:color="auto"/>
                <w:left w:val="none" w:sz="0" w:space="0" w:color="auto"/>
                <w:bottom w:val="none" w:sz="0" w:space="0" w:color="auto"/>
                <w:right w:val="none" w:sz="0" w:space="0" w:color="auto"/>
              </w:divBdr>
            </w:div>
            <w:div w:id="16404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khttps://finance.yahoo.com/quote/GM/financials?p=G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s://www.gm.com/masthead-story/electric-charging-stations-infrastructure.html"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m.com/"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F55261-4B82-46F9-88DF-6A17C87D10D3}" type="doc">
      <dgm:prSet loTypeId="urn:microsoft.com/office/officeart/2005/8/layout/balance1" loCatId="relationship" qsTypeId="urn:microsoft.com/office/officeart/2005/8/quickstyle/3d2" qsCatId="3D" csTypeId="urn:microsoft.com/office/officeart/2005/8/colors/colorful5" csCatId="colorful" phldr="1"/>
      <dgm:spPr/>
      <dgm:t>
        <a:bodyPr/>
        <a:lstStyle/>
        <a:p>
          <a:endParaRPr lang="en-US"/>
        </a:p>
      </dgm:t>
    </dgm:pt>
    <dgm:pt modelId="{F3FE6C9C-1F2E-41A3-AF86-3F3B9EBD1DBC}">
      <dgm:prSet phldrT="[Text]"/>
      <dgm:spPr/>
      <dgm:t>
        <a:bodyPr/>
        <a:lstStyle/>
        <a:p>
          <a:r>
            <a:rPr lang="en-US"/>
            <a:t>Low Risk</a:t>
          </a:r>
        </a:p>
      </dgm:t>
    </dgm:pt>
    <dgm:pt modelId="{39477FDB-853D-49B0-8A35-D2CDF8F0C863}" type="parTrans" cxnId="{F38CF0DD-E76C-4C78-B037-EC124F996579}">
      <dgm:prSet/>
      <dgm:spPr/>
      <dgm:t>
        <a:bodyPr/>
        <a:lstStyle/>
        <a:p>
          <a:endParaRPr lang="en-US"/>
        </a:p>
      </dgm:t>
    </dgm:pt>
    <dgm:pt modelId="{FC29409D-833E-425E-A679-4EDAD917C96D}" type="sibTrans" cxnId="{F38CF0DD-E76C-4C78-B037-EC124F996579}">
      <dgm:prSet/>
      <dgm:spPr/>
      <dgm:t>
        <a:bodyPr/>
        <a:lstStyle/>
        <a:p>
          <a:endParaRPr lang="en-US"/>
        </a:p>
      </dgm:t>
    </dgm:pt>
    <dgm:pt modelId="{DB2C3523-3332-4D20-B0EA-B94E0EABB0FA}">
      <dgm:prSet phldrT="[Text]"/>
      <dgm:spPr/>
      <dgm:t>
        <a:bodyPr/>
        <a:lstStyle/>
        <a:p>
          <a:r>
            <a:rPr lang="en-US"/>
            <a:t>New Entrants</a:t>
          </a:r>
        </a:p>
      </dgm:t>
    </dgm:pt>
    <dgm:pt modelId="{C16A68D1-74FD-42CA-B738-89439E41190F}" type="parTrans" cxnId="{D8F31545-A61A-4CC1-9A92-7859DC8D7D64}">
      <dgm:prSet/>
      <dgm:spPr/>
      <dgm:t>
        <a:bodyPr/>
        <a:lstStyle/>
        <a:p>
          <a:endParaRPr lang="en-US"/>
        </a:p>
      </dgm:t>
    </dgm:pt>
    <dgm:pt modelId="{9B41040C-17C3-46D1-862A-5E94F0932A4C}" type="sibTrans" cxnId="{D8F31545-A61A-4CC1-9A92-7859DC8D7D64}">
      <dgm:prSet/>
      <dgm:spPr/>
      <dgm:t>
        <a:bodyPr/>
        <a:lstStyle/>
        <a:p>
          <a:endParaRPr lang="en-US"/>
        </a:p>
      </dgm:t>
    </dgm:pt>
    <dgm:pt modelId="{6609EFF2-2FC6-4A09-B430-F64C21184D19}">
      <dgm:prSet phldrT="[Text]"/>
      <dgm:spPr/>
      <dgm:t>
        <a:bodyPr/>
        <a:lstStyle/>
        <a:p>
          <a:r>
            <a:rPr lang="en-US"/>
            <a:t>High Risk</a:t>
          </a:r>
        </a:p>
      </dgm:t>
    </dgm:pt>
    <dgm:pt modelId="{C107F157-29B6-46D7-8354-3A0966FA4AD3}" type="parTrans" cxnId="{EA123704-A53E-4562-859B-19580E378D1D}">
      <dgm:prSet/>
      <dgm:spPr/>
      <dgm:t>
        <a:bodyPr/>
        <a:lstStyle/>
        <a:p>
          <a:endParaRPr lang="en-US"/>
        </a:p>
      </dgm:t>
    </dgm:pt>
    <dgm:pt modelId="{ABEEC7DE-C047-4C93-8BEA-4C05CE8947DD}" type="sibTrans" cxnId="{EA123704-A53E-4562-859B-19580E378D1D}">
      <dgm:prSet/>
      <dgm:spPr/>
      <dgm:t>
        <a:bodyPr/>
        <a:lstStyle/>
        <a:p>
          <a:endParaRPr lang="en-US"/>
        </a:p>
      </dgm:t>
    </dgm:pt>
    <dgm:pt modelId="{41D097DA-9565-4B04-88CA-0E06305E4E4D}">
      <dgm:prSet phldrT="[Text]"/>
      <dgm:spPr/>
      <dgm:t>
        <a:bodyPr/>
        <a:lstStyle/>
        <a:p>
          <a:r>
            <a:rPr lang="en-US"/>
            <a:t>Consumer Bargaining Power</a:t>
          </a:r>
        </a:p>
      </dgm:t>
    </dgm:pt>
    <dgm:pt modelId="{257A3806-8F8A-498F-A90D-42474D4E6F1D}" type="parTrans" cxnId="{006E2E23-9E58-4CBB-9424-DEB6C3809D93}">
      <dgm:prSet/>
      <dgm:spPr/>
      <dgm:t>
        <a:bodyPr/>
        <a:lstStyle/>
        <a:p>
          <a:endParaRPr lang="en-US"/>
        </a:p>
      </dgm:t>
    </dgm:pt>
    <dgm:pt modelId="{FD505BCF-4E52-4AAE-8BF5-6CD96E8BCD0A}" type="sibTrans" cxnId="{006E2E23-9E58-4CBB-9424-DEB6C3809D93}">
      <dgm:prSet/>
      <dgm:spPr/>
      <dgm:t>
        <a:bodyPr/>
        <a:lstStyle/>
        <a:p>
          <a:endParaRPr lang="en-US"/>
        </a:p>
      </dgm:t>
    </dgm:pt>
    <dgm:pt modelId="{FD69A78C-5058-44CF-9B31-A7D0E5082267}">
      <dgm:prSet phldrT="[Text]"/>
      <dgm:spPr/>
      <dgm:t>
        <a:bodyPr/>
        <a:lstStyle/>
        <a:p>
          <a:r>
            <a:rPr lang="en-US"/>
            <a:t>Supplier  Bargaining Power</a:t>
          </a:r>
        </a:p>
      </dgm:t>
    </dgm:pt>
    <dgm:pt modelId="{D0D7C101-69D3-4EA3-B9B2-9D602577F717}" type="parTrans" cxnId="{11DA30C9-1A0F-421C-AC3C-61370D73C1E6}">
      <dgm:prSet/>
      <dgm:spPr/>
      <dgm:t>
        <a:bodyPr/>
        <a:lstStyle/>
        <a:p>
          <a:endParaRPr lang="en-US"/>
        </a:p>
      </dgm:t>
    </dgm:pt>
    <dgm:pt modelId="{88D24AD5-3CFE-4E61-B6B7-E114C219C39C}" type="sibTrans" cxnId="{11DA30C9-1A0F-421C-AC3C-61370D73C1E6}">
      <dgm:prSet/>
      <dgm:spPr/>
      <dgm:t>
        <a:bodyPr/>
        <a:lstStyle/>
        <a:p>
          <a:endParaRPr lang="en-US"/>
        </a:p>
      </dgm:t>
    </dgm:pt>
    <dgm:pt modelId="{193D2E3D-ED86-4614-AC8A-EAF7388C1DD1}">
      <dgm:prSet phldrT="[Text]"/>
      <dgm:spPr/>
      <dgm:t>
        <a:bodyPr/>
        <a:lstStyle/>
        <a:p>
          <a:r>
            <a:rPr lang="en-US"/>
            <a:t>Substitute Products</a:t>
          </a:r>
        </a:p>
      </dgm:t>
    </dgm:pt>
    <dgm:pt modelId="{AFDB7D8B-1395-47EE-AA9C-8C6970A4AECD}" type="parTrans" cxnId="{BB11742E-A982-4EE0-8EEE-AAFC73ACB3F1}">
      <dgm:prSet/>
      <dgm:spPr/>
      <dgm:t>
        <a:bodyPr/>
        <a:lstStyle/>
        <a:p>
          <a:endParaRPr lang="en-US"/>
        </a:p>
      </dgm:t>
    </dgm:pt>
    <dgm:pt modelId="{76F38D64-D2B5-4EB4-9827-6D50ADD04C85}" type="sibTrans" cxnId="{BB11742E-A982-4EE0-8EEE-AAFC73ACB3F1}">
      <dgm:prSet/>
      <dgm:spPr/>
      <dgm:t>
        <a:bodyPr/>
        <a:lstStyle/>
        <a:p>
          <a:endParaRPr lang="en-US"/>
        </a:p>
      </dgm:t>
    </dgm:pt>
    <dgm:pt modelId="{FBA91363-A7B6-495E-A0C0-C481D3BA49A1}">
      <dgm:prSet phldrT="[Text]"/>
      <dgm:spPr/>
      <dgm:t>
        <a:bodyPr/>
        <a:lstStyle/>
        <a:p>
          <a:r>
            <a:rPr lang="en-US"/>
            <a:t>Competition Rivalry</a:t>
          </a:r>
        </a:p>
      </dgm:t>
    </dgm:pt>
    <dgm:pt modelId="{896A8BA5-70B4-4B8B-BE7F-48741FD537C3}" type="parTrans" cxnId="{E23A193F-830D-4D09-8A34-F5B9CDBE0A02}">
      <dgm:prSet/>
      <dgm:spPr/>
      <dgm:t>
        <a:bodyPr/>
        <a:lstStyle/>
        <a:p>
          <a:endParaRPr lang="en-US"/>
        </a:p>
      </dgm:t>
    </dgm:pt>
    <dgm:pt modelId="{5B49F814-E611-4476-AE10-1B86FCD04CCF}" type="sibTrans" cxnId="{E23A193F-830D-4D09-8A34-F5B9CDBE0A02}">
      <dgm:prSet/>
      <dgm:spPr/>
      <dgm:t>
        <a:bodyPr/>
        <a:lstStyle/>
        <a:p>
          <a:endParaRPr lang="en-US"/>
        </a:p>
      </dgm:t>
    </dgm:pt>
    <dgm:pt modelId="{6AE95387-448F-450F-A86E-6D8CFC56A185}" type="pres">
      <dgm:prSet presAssocID="{FCF55261-4B82-46F9-88DF-6A17C87D10D3}" presName="outerComposite" presStyleCnt="0">
        <dgm:presLayoutVars>
          <dgm:chMax val="2"/>
          <dgm:animLvl val="lvl"/>
          <dgm:resizeHandles val="exact"/>
        </dgm:presLayoutVars>
      </dgm:prSet>
      <dgm:spPr/>
      <dgm:t>
        <a:bodyPr/>
        <a:lstStyle/>
        <a:p>
          <a:endParaRPr lang="en-US"/>
        </a:p>
      </dgm:t>
    </dgm:pt>
    <dgm:pt modelId="{04FD14C8-1BB5-43DB-A9C8-0B6337A6A73C}" type="pres">
      <dgm:prSet presAssocID="{FCF55261-4B82-46F9-88DF-6A17C87D10D3}" presName="dummyMaxCanvas" presStyleCnt="0"/>
      <dgm:spPr/>
    </dgm:pt>
    <dgm:pt modelId="{68C9B94C-2E2C-4A91-B3DF-58A6E29C8162}" type="pres">
      <dgm:prSet presAssocID="{FCF55261-4B82-46F9-88DF-6A17C87D10D3}" presName="parentComposite" presStyleCnt="0"/>
      <dgm:spPr/>
    </dgm:pt>
    <dgm:pt modelId="{062F85ED-710E-44F0-B8BB-7F18870F158E}" type="pres">
      <dgm:prSet presAssocID="{FCF55261-4B82-46F9-88DF-6A17C87D10D3}" presName="parent1" presStyleLbl="alignAccFollowNode1" presStyleIdx="0" presStyleCnt="4">
        <dgm:presLayoutVars>
          <dgm:chMax val="4"/>
        </dgm:presLayoutVars>
      </dgm:prSet>
      <dgm:spPr/>
      <dgm:t>
        <a:bodyPr/>
        <a:lstStyle/>
        <a:p>
          <a:endParaRPr lang="en-US"/>
        </a:p>
      </dgm:t>
    </dgm:pt>
    <dgm:pt modelId="{928BAA3E-AB47-4F05-A294-B93CECDE512C}" type="pres">
      <dgm:prSet presAssocID="{FCF55261-4B82-46F9-88DF-6A17C87D10D3}" presName="parent2" presStyleLbl="alignAccFollowNode1" presStyleIdx="1" presStyleCnt="4">
        <dgm:presLayoutVars>
          <dgm:chMax val="4"/>
        </dgm:presLayoutVars>
      </dgm:prSet>
      <dgm:spPr/>
      <dgm:t>
        <a:bodyPr/>
        <a:lstStyle/>
        <a:p>
          <a:endParaRPr lang="en-US"/>
        </a:p>
      </dgm:t>
    </dgm:pt>
    <dgm:pt modelId="{198A2561-F7B8-49D6-AA89-6093D2026CA1}" type="pres">
      <dgm:prSet presAssocID="{FCF55261-4B82-46F9-88DF-6A17C87D10D3}" presName="childrenComposite" presStyleCnt="0"/>
      <dgm:spPr/>
    </dgm:pt>
    <dgm:pt modelId="{11754AE4-7E94-4DE4-93E9-5CB622E47F49}" type="pres">
      <dgm:prSet presAssocID="{FCF55261-4B82-46F9-88DF-6A17C87D10D3}" presName="dummyMaxCanvas_ChildArea" presStyleCnt="0"/>
      <dgm:spPr/>
    </dgm:pt>
    <dgm:pt modelId="{91699781-C1A9-4DB6-9D1D-8B653CD0ACA1}" type="pres">
      <dgm:prSet presAssocID="{FCF55261-4B82-46F9-88DF-6A17C87D10D3}" presName="fulcrum" presStyleLbl="alignAccFollowNode1" presStyleIdx="2" presStyleCnt="4"/>
      <dgm:spPr/>
    </dgm:pt>
    <dgm:pt modelId="{3D14E4E8-2D3F-474C-9E7F-4D4D385AD8F7}" type="pres">
      <dgm:prSet presAssocID="{FCF55261-4B82-46F9-88DF-6A17C87D10D3}" presName="balance_32" presStyleLbl="alignAccFollowNode1" presStyleIdx="3" presStyleCnt="4">
        <dgm:presLayoutVars>
          <dgm:bulletEnabled val="1"/>
        </dgm:presLayoutVars>
      </dgm:prSet>
      <dgm:spPr/>
    </dgm:pt>
    <dgm:pt modelId="{6F7B668C-64E5-4740-A3B6-A036EEBE1E31}" type="pres">
      <dgm:prSet presAssocID="{FCF55261-4B82-46F9-88DF-6A17C87D10D3}" presName="left_32_1" presStyleLbl="node1" presStyleIdx="0" presStyleCnt="5">
        <dgm:presLayoutVars>
          <dgm:bulletEnabled val="1"/>
        </dgm:presLayoutVars>
      </dgm:prSet>
      <dgm:spPr/>
      <dgm:t>
        <a:bodyPr/>
        <a:lstStyle/>
        <a:p>
          <a:endParaRPr lang="en-US"/>
        </a:p>
      </dgm:t>
    </dgm:pt>
    <dgm:pt modelId="{13AA14C1-D608-4CE8-B313-8F3EF07AFD87}" type="pres">
      <dgm:prSet presAssocID="{FCF55261-4B82-46F9-88DF-6A17C87D10D3}" presName="left_32_2" presStyleLbl="node1" presStyleIdx="1" presStyleCnt="5">
        <dgm:presLayoutVars>
          <dgm:bulletEnabled val="1"/>
        </dgm:presLayoutVars>
      </dgm:prSet>
      <dgm:spPr/>
      <dgm:t>
        <a:bodyPr/>
        <a:lstStyle/>
        <a:p>
          <a:endParaRPr lang="en-US"/>
        </a:p>
      </dgm:t>
    </dgm:pt>
    <dgm:pt modelId="{24167824-4A94-4B2F-B2AD-E23F120E4479}" type="pres">
      <dgm:prSet presAssocID="{FCF55261-4B82-46F9-88DF-6A17C87D10D3}" presName="left_32_3" presStyleLbl="node1" presStyleIdx="2" presStyleCnt="5">
        <dgm:presLayoutVars>
          <dgm:bulletEnabled val="1"/>
        </dgm:presLayoutVars>
      </dgm:prSet>
      <dgm:spPr/>
      <dgm:t>
        <a:bodyPr/>
        <a:lstStyle/>
        <a:p>
          <a:endParaRPr lang="en-US"/>
        </a:p>
      </dgm:t>
    </dgm:pt>
    <dgm:pt modelId="{A7035E7E-45A2-4F39-B7E0-D69A9B24A955}" type="pres">
      <dgm:prSet presAssocID="{FCF55261-4B82-46F9-88DF-6A17C87D10D3}" presName="right_32_1" presStyleLbl="node1" presStyleIdx="3" presStyleCnt="5">
        <dgm:presLayoutVars>
          <dgm:bulletEnabled val="1"/>
        </dgm:presLayoutVars>
      </dgm:prSet>
      <dgm:spPr/>
      <dgm:t>
        <a:bodyPr/>
        <a:lstStyle/>
        <a:p>
          <a:endParaRPr lang="en-US"/>
        </a:p>
      </dgm:t>
    </dgm:pt>
    <dgm:pt modelId="{F6EFCDF4-6626-43A2-8463-E8182B067F40}" type="pres">
      <dgm:prSet presAssocID="{FCF55261-4B82-46F9-88DF-6A17C87D10D3}" presName="right_32_2" presStyleLbl="node1" presStyleIdx="4" presStyleCnt="5">
        <dgm:presLayoutVars>
          <dgm:bulletEnabled val="1"/>
        </dgm:presLayoutVars>
      </dgm:prSet>
      <dgm:spPr/>
      <dgm:t>
        <a:bodyPr/>
        <a:lstStyle/>
        <a:p>
          <a:endParaRPr lang="en-US"/>
        </a:p>
      </dgm:t>
    </dgm:pt>
  </dgm:ptLst>
  <dgm:cxnLst>
    <dgm:cxn modelId="{D8F31545-A61A-4CC1-9A92-7859DC8D7D64}" srcId="{F3FE6C9C-1F2E-41A3-AF86-3F3B9EBD1DBC}" destId="{DB2C3523-3332-4D20-B0EA-B94E0EABB0FA}" srcOrd="0" destOrd="0" parTransId="{C16A68D1-74FD-42CA-B738-89439E41190F}" sibTransId="{9B41040C-17C3-46D1-862A-5E94F0932A4C}"/>
    <dgm:cxn modelId="{1144B7C0-7AD8-4515-850E-96051F812DBF}" type="presOf" srcId="{FCF55261-4B82-46F9-88DF-6A17C87D10D3}" destId="{6AE95387-448F-450F-A86E-6D8CFC56A185}" srcOrd="0" destOrd="0" presId="urn:microsoft.com/office/officeart/2005/8/layout/balance1"/>
    <dgm:cxn modelId="{5CAD6C61-1DD4-4A6A-B8FE-D1A4C679E5DD}" type="presOf" srcId="{41D097DA-9565-4B04-88CA-0E06305E4E4D}" destId="{A7035E7E-45A2-4F39-B7E0-D69A9B24A955}" srcOrd="0" destOrd="0" presId="urn:microsoft.com/office/officeart/2005/8/layout/balance1"/>
    <dgm:cxn modelId="{BB11742E-A982-4EE0-8EEE-AAFC73ACB3F1}" srcId="{F3FE6C9C-1F2E-41A3-AF86-3F3B9EBD1DBC}" destId="{193D2E3D-ED86-4614-AC8A-EAF7388C1DD1}" srcOrd="1" destOrd="0" parTransId="{AFDB7D8B-1395-47EE-AA9C-8C6970A4AECD}" sibTransId="{76F38D64-D2B5-4EB4-9827-6D50ADD04C85}"/>
    <dgm:cxn modelId="{11DA30C9-1A0F-421C-AC3C-61370D73C1E6}" srcId="{6609EFF2-2FC6-4A09-B430-F64C21184D19}" destId="{FD69A78C-5058-44CF-9B31-A7D0E5082267}" srcOrd="1" destOrd="0" parTransId="{D0D7C101-69D3-4EA3-B9B2-9D602577F717}" sibTransId="{88D24AD5-3CFE-4E61-B6B7-E114C219C39C}"/>
    <dgm:cxn modelId="{4FD09D35-DAAF-4CFB-B493-CD9677B96AEF}" type="presOf" srcId="{FBA91363-A7B6-495E-A0C0-C481D3BA49A1}" destId="{24167824-4A94-4B2F-B2AD-E23F120E4479}" srcOrd="0" destOrd="0" presId="urn:microsoft.com/office/officeart/2005/8/layout/balance1"/>
    <dgm:cxn modelId="{E22842D6-CE9E-4007-91CF-6AF5381B209D}" type="presOf" srcId="{FD69A78C-5058-44CF-9B31-A7D0E5082267}" destId="{F6EFCDF4-6626-43A2-8463-E8182B067F40}" srcOrd="0" destOrd="0" presId="urn:microsoft.com/office/officeart/2005/8/layout/balance1"/>
    <dgm:cxn modelId="{3749198A-7576-4232-9D43-3697FAB46AAB}" type="presOf" srcId="{6609EFF2-2FC6-4A09-B430-F64C21184D19}" destId="{928BAA3E-AB47-4F05-A294-B93CECDE512C}" srcOrd="0" destOrd="0" presId="urn:microsoft.com/office/officeart/2005/8/layout/balance1"/>
    <dgm:cxn modelId="{54073381-5006-4615-B38B-1339A070B28D}" type="presOf" srcId="{F3FE6C9C-1F2E-41A3-AF86-3F3B9EBD1DBC}" destId="{062F85ED-710E-44F0-B8BB-7F18870F158E}" srcOrd="0" destOrd="0" presId="urn:microsoft.com/office/officeart/2005/8/layout/balance1"/>
    <dgm:cxn modelId="{E23A193F-830D-4D09-8A34-F5B9CDBE0A02}" srcId="{F3FE6C9C-1F2E-41A3-AF86-3F3B9EBD1DBC}" destId="{FBA91363-A7B6-495E-A0C0-C481D3BA49A1}" srcOrd="2" destOrd="0" parTransId="{896A8BA5-70B4-4B8B-BE7F-48741FD537C3}" sibTransId="{5B49F814-E611-4476-AE10-1B86FCD04CCF}"/>
    <dgm:cxn modelId="{EA123704-A53E-4562-859B-19580E378D1D}" srcId="{FCF55261-4B82-46F9-88DF-6A17C87D10D3}" destId="{6609EFF2-2FC6-4A09-B430-F64C21184D19}" srcOrd="1" destOrd="0" parTransId="{C107F157-29B6-46D7-8354-3A0966FA4AD3}" sibTransId="{ABEEC7DE-C047-4C93-8BEA-4C05CE8947DD}"/>
    <dgm:cxn modelId="{7083A52F-9803-443D-91B5-E23A43F1614B}" type="presOf" srcId="{DB2C3523-3332-4D20-B0EA-B94E0EABB0FA}" destId="{6F7B668C-64E5-4740-A3B6-A036EEBE1E31}" srcOrd="0" destOrd="0" presId="urn:microsoft.com/office/officeart/2005/8/layout/balance1"/>
    <dgm:cxn modelId="{F38CF0DD-E76C-4C78-B037-EC124F996579}" srcId="{FCF55261-4B82-46F9-88DF-6A17C87D10D3}" destId="{F3FE6C9C-1F2E-41A3-AF86-3F3B9EBD1DBC}" srcOrd="0" destOrd="0" parTransId="{39477FDB-853D-49B0-8A35-D2CDF8F0C863}" sibTransId="{FC29409D-833E-425E-A679-4EDAD917C96D}"/>
    <dgm:cxn modelId="{DC843FE7-E6B1-44F4-BF6F-8FF1A7A91820}" type="presOf" srcId="{193D2E3D-ED86-4614-AC8A-EAF7388C1DD1}" destId="{13AA14C1-D608-4CE8-B313-8F3EF07AFD87}" srcOrd="0" destOrd="0" presId="urn:microsoft.com/office/officeart/2005/8/layout/balance1"/>
    <dgm:cxn modelId="{006E2E23-9E58-4CBB-9424-DEB6C3809D93}" srcId="{6609EFF2-2FC6-4A09-B430-F64C21184D19}" destId="{41D097DA-9565-4B04-88CA-0E06305E4E4D}" srcOrd="0" destOrd="0" parTransId="{257A3806-8F8A-498F-A90D-42474D4E6F1D}" sibTransId="{FD505BCF-4E52-4AAE-8BF5-6CD96E8BCD0A}"/>
    <dgm:cxn modelId="{04FBF32A-54E7-4A81-A3FF-1077A6354B55}" type="presParOf" srcId="{6AE95387-448F-450F-A86E-6D8CFC56A185}" destId="{04FD14C8-1BB5-43DB-A9C8-0B6337A6A73C}" srcOrd="0" destOrd="0" presId="urn:microsoft.com/office/officeart/2005/8/layout/balance1"/>
    <dgm:cxn modelId="{C5E30B0C-718D-4338-9A57-BF3E60843AE1}" type="presParOf" srcId="{6AE95387-448F-450F-A86E-6D8CFC56A185}" destId="{68C9B94C-2E2C-4A91-B3DF-58A6E29C8162}" srcOrd="1" destOrd="0" presId="urn:microsoft.com/office/officeart/2005/8/layout/balance1"/>
    <dgm:cxn modelId="{41026FE8-276D-4BFD-8FB1-2F47FE3C888F}" type="presParOf" srcId="{68C9B94C-2E2C-4A91-B3DF-58A6E29C8162}" destId="{062F85ED-710E-44F0-B8BB-7F18870F158E}" srcOrd="0" destOrd="0" presId="urn:microsoft.com/office/officeart/2005/8/layout/balance1"/>
    <dgm:cxn modelId="{A0FAE7BE-3F7E-430D-A17C-296C656D2605}" type="presParOf" srcId="{68C9B94C-2E2C-4A91-B3DF-58A6E29C8162}" destId="{928BAA3E-AB47-4F05-A294-B93CECDE512C}" srcOrd="1" destOrd="0" presId="urn:microsoft.com/office/officeart/2005/8/layout/balance1"/>
    <dgm:cxn modelId="{B743A0D1-B683-4355-A748-2E22D56D1C44}" type="presParOf" srcId="{6AE95387-448F-450F-A86E-6D8CFC56A185}" destId="{198A2561-F7B8-49D6-AA89-6093D2026CA1}" srcOrd="2" destOrd="0" presId="urn:microsoft.com/office/officeart/2005/8/layout/balance1"/>
    <dgm:cxn modelId="{69D3FB23-DC97-4512-B8E0-50FC70E89A12}" type="presParOf" srcId="{198A2561-F7B8-49D6-AA89-6093D2026CA1}" destId="{11754AE4-7E94-4DE4-93E9-5CB622E47F49}" srcOrd="0" destOrd="0" presId="urn:microsoft.com/office/officeart/2005/8/layout/balance1"/>
    <dgm:cxn modelId="{648156BC-263D-465A-8294-67F965847217}" type="presParOf" srcId="{198A2561-F7B8-49D6-AA89-6093D2026CA1}" destId="{91699781-C1A9-4DB6-9D1D-8B653CD0ACA1}" srcOrd="1" destOrd="0" presId="urn:microsoft.com/office/officeart/2005/8/layout/balance1"/>
    <dgm:cxn modelId="{B6262846-A6EB-4B85-948D-29ECB680D429}" type="presParOf" srcId="{198A2561-F7B8-49D6-AA89-6093D2026CA1}" destId="{3D14E4E8-2D3F-474C-9E7F-4D4D385AD8F7}" srcOrd="2" destOrd="0" presId="urn:microsoft.com/office/officeart/2005/8/layout/balance1"/>
    <dgm:cxn modelId="{8020064A-AF5E-4D26-812C-9724C9678D59}" type="presParOf" srcId="{198A2561-F7B8-49D6-AA89-6093D2026CA1}" destId="{6F7B668C-64E5-4740-A3B6-A036EEBE1E31}" srcOrd="3" destOrd="0" presId="urn:microsoft.com/office/officeart/2005/8/layout/balance1"/>
    <dgm:cxn modelId="{5018FFF3-7C82-4EF9-944D-6A45E874EAED}" type="presParOf" srcId="{198A2561-F7B8-49D6-AA89-6093D2026CA1}" destId="{13AA14C1-D608-4CE8-B313-8F3EF07AFD87}" srcOrd="4" destOrd="0" presId="urn:microsoft.com/office/officeart/2005/8/layout/balance1"/>
    <dgm:cxn modelId="{2B32AB06-B891-4479-9BF6-7D11B1457BD5}" type="presParOf" srcId="{198A2561-F7B8-49D6-AA89-6093D2026CA1}" destId="{24167824-4A94-4B2F-B2AD-E23F120E4479}" srcOrd="5" destOrd="0" presId="urn:microsoft.com/office/officeart/2005/8/layout/balance1"/>
    <dgm:cxn modelId="{58C9C091-8119-4905-9AD1-8C4860350B1D}" type="presParOf" srcId="{198A2561-F7B8-49D6-AA89-6093D2026CA1}" destId="{A7035E7E-45A2-4F39-B7E0-D69A9B24A955}" srcOrd="6" destOrd="0" presId="urn:microsoft.com/office/officeart/2005/8/layout/balance1"/>
    <dgm:cxn modelId="{42D52251-C260-4346-94B9-595AAC1BE9F4}" type="presParOf" srcId="{198A2561-F7B8-49D6-AA89-6093D2026CA1}" destId="{F6EFCDF4-6626-43A2-8463-E8182B067F40}" srcOrd="7" destOrd="0" presId="urn:microsoft.com/office/officeart/2005/8/layout/balance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2F85ED-710E-44F0-B8BB-7F18870F158E}">
      <dsp:nvSpPr>
        <dsp:cNvPr id="0" name=""/>
        <dsp:cNvSpPr/>
      </dsp:nvSpPr>
      <dsp:spPr>
        <a:xfrm>
          <a:off x="1617535" y="0"/>
          <a:ext cx="761238" cy="422910"/>
        </a:xfrm>
        <a:prstGeom prst="roundRect">
          <a:avLst>
            <a:gd name="adj" fmla="val 10000"/>
          </a:avLst>
        </a:prstGeom>
        <a:solidFill>
          <a:schemeClr val="accent5">
            <a:tint val="40000"/>
            <a:alpha val="90000"/>
            <a:hueOff val="0"/>
            <a:satOff val="0"/>
            <a:lumOff val="0"/>
            <a:alphaOff val="0"/>
          </a:schemeClr>
        </a:solidFill>
        <a:ln w="6350" cap="flat" cmpd="sng" algn="ctr">
          <a:solidFill>
            <a:schemeClr val="accent5">
              <a:tint val="40000"/>
              <a:alpha val="90000"/>
              <a:hueOff val="0"/>
              <a:satOff val="0"/>
              <a:lumOff val="0"/>
              <a:alphaOff val="0"/>
            </a:schemeClr>
          </a:solidFill>
          <a:prstDash val="solid"/>
          <a:miter lim="800000"/>
        </a:ln>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Low Risk</a:t>
          </a:r>
        </a:p>
      </dsp:txBody>
      <dsp:txXfrm>
        <a:off x="1629922" y="12387"/>
        <a:ext cx="736464" cy="398136"/>
      </dsp:txXfrm>
    </dsp:sp>
    <dsp:sp modelId="{928BAA3E-AB47-4F05-A294-B93CECDE512C}">
      <dsp:nvSpPr>
        <dsp:cNvPr id="0" name=""/>
        <dsp:cNvSpPr/>
      </dsp:nvSpPr>
      <dsp:spPr>
        <a:xfrm>
          <a:off x="2717101" y="0"/>
          <a:ext cx="761238" cy="422910"/>
        </a:xfrm>
        <a:prstGeom prst="roundRect">
          <a:avLst>
            <a:gd name="adj" fmla="val 10000"/>
          </a:avLst>
        </a:prstGeom>
        <a:solidFill>
          <a:schemeClr val="accent5">
            <a:tint val="40000"/>
            <a:alpha val="90000"/>
            <a:hueOff val="-2463918"/>
            <a:satOff val="-4272"/>
            <a:lumOff val="-430"/>
            <a:alphaOff val="0"/>
          </a:schemeClr>
        </a:solidFill>
        <a:ln w="6350" cap="flat" cmpd="sng" algn="ctr">
          <a:solidFill>
            <a:schemeClr val="accent5">
              <a:tint val="40000"/>
              <a:alpha val="90000"/>
              <a:hueOff val="-2463918"/>
              <a:satOff val="-4272"/>
              <a:lumOff val="-430"/>
              <a:alphaOff val="0"/>
            </a:schemeClr>
          </a:solidFill>
          <a:prstDash val="solid"/>
          <a:miter lim="800000"/>
        </a:ln>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High Risk</a:t>
          </a:r>
        </a:p>
      </dsp:txBody>
      <dsp:txXfrm>
        <a:off x="2729488" y="12387"/>
        <a:ext cx="736464" cy="398136"/>
      </dsp:txXfrm>
    </dsp:sp>
    <dsp:sp modelId="{91699781-C1A9-4DB6-9D1D-8B653CD0ACA1}">
      <dsp:nvSpPr>
        <dsp:cNvPr id="0" name=""/>
        <dsp:cNvSpPr/>
      </dsp:nvSpPr>
      <dsp:spPr>
        <a:xfrm>
          <a:off x="2389346" y="1797367"/>
          <a:ext cx="317182" cy="317182"/>
        </a:xfrm>
        <a:prstGeom prst="triangle">
          <a:avLst/>
        </a:prstGeom>
        <a:solidFill>
          <a:schemeClr val="accent5">
            <a:tint val="40000"/>
            <a:alpha val="90000"/>
            <a:hueOff val="-4927836"/>
            <a:satOff val="-8544"/>
            <a:lumOff val="-859"/>
            <a:alphaOff val="0"/>
          </a:schemeClr>
        </a:solidFill>
        <a:ln w="6350" cap="flat" cmpd="sng" algn="ctr">
          <a:solidFill>
            <a:schemeClr val="accent5">
              <a:tint val="40000"/>
              <a:alpha val="90000"/>
              <a:hueOff val="-4927836"/>
              <a:satOff val="-8544"/>
              <a:lumOff val="-859"/>
              <a:alphaOff val="0"/>
            </a:schemeClr>
          </a:solidFill>
          <a:prstDash val="solid"/>
          <a:miter lim="800000"/>
        </a:ln>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sp>
    <dsp:sp modelId="{3D14E4E8-2D3F-474C-9E7F-4D4D385AD8F7}">
      <dsp:nvSpPr>
        <dsp:cNvPr id="0" name=""/>
        <dsp:cNvSpPr/>
      </dsp:nvSpPr>
      <dsp:spPr>
        <a:xfrm rot="21360000">
          <a:off x="1596099" y="1661451"/>
          <a:ext cx="1903676" cy="133118"/>
        </a:xfrm>
        <a:prstGeom prst="rect">
          <a:avLst/>
        </a:prstGeom>
        <a:solidFill>
          <a:schemeClr val="accent5">
            <a:tint val="40000"/>
            <a:alpha val="90000"/>
            <a:hueOff val="-7391754"/>
            <a:satOff val="-12816"/>
            <a:lumOff val="-1289"/>
            <a:alphaOff val="0"/>
          </a:schemeClr>
        </a:solidFill>
        <a:ln w="6350" cap="flat" cmpd="sng" algn="ctr">
          <a:solidFill>
            <a:schemeClr val="accent5">
              <a:tint val="40000"/>
              <a:alpha val="90000"/>
              <a:hueOff val="-7391754"/>
              <a:satOff val="-12816"/>
              <a:lumOff val="-1289"/>
              <a:alphaOff val="0"/>
            </a:schemeClr>
          </a:solidFill>
          <a:prstDash val="solid"/>
          <a:miter lim="800000"/>
        </a:ln>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sp>
    <dsp:sp modelId="{6F7B668C-64E5-4740-A3B6-A036EEBE1E31}">
      <dsp:nvSpPr>
        <dsp:cNvPr id="0" name=""/>
        <dsp:cNvSpPr/>
      </dsp:nvSpPr>
      <dsp:spPr>
        <a:xfrm rot="21360000">
          <a:off x="1597234" y="1328623"/>
          <a:ext cx="759548" cy="353872"/>
        </a:xfrm>
        <a:prstGeom prst="round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New Entrants</a:t>
          </a:r>
        </a:p>
      </dsp:txBody>
      <dsp:txXfrm>
        <a:off x="1614509" y="1345898"/>
        <a:ext cx="724998" cy="319322"/>
      </dsp:txXfrm>
    </dsp:sp>
    <dsp:sp modelId="{13AA14C1-D608-4CE8-B313-8F3EF07AFD87}">
      <dsp:nvSpPr>
        <dsp:cNvPr id="0" name=""/>
        <dsp:cNvSpPr/>
      </dsp:nvSpPr>
      <dsp:spPr>
        <a:xfrm rot="21360000">
          <a:off x="1569745" y="948004"/>
          <a:ext cx="759548" cy="353872"/>
        </a:xfrm>
        <a:prstGeom prst="roundRect">
          <a:avLst/>
        </a:prstGeom>
        <a:gradFill rotWithShape="0">
          <a:gsLst>
            <a:gs pos="0">
              <a:schemeClr val="accent5">
                <a:hueOff val="-1838336"/>
                <a:satOff val="-2557"/>
                <a:lumOff val="-981"/>
                <a:alphaOff val="0"/>
                <a:satMod val="103000"/>
                <a:lumMod val="102000"/>
                <a:tint val="94000"/>
              </a:schemeClr>
            </a:gs>
            <a:gs pos="50000">
              <a:schemeClr val="accent5">
                <a:hueOff val="-1838336"/>
                <a:satOff val="-2557"/>
                <a:lumOff val="-981"/>
                <a:alphaOff val="0"/>
                <a:satMod val="110000"/>
                <a:lumMod val="100000"/>
                <a:shade val="100000"/>
              </a:schemeClr>
            </a:gs>
            <a:gs pos="100000">
              <a:schemeClr val="accent5">
                <a:hueOff val="-1838336"/>
                <a:satOff val="-2557"/>
                <a:lumOff val="-981"/>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Substitute Products</a:t>
          </a:r>
        </a:p>
      </dsp:txBody>
      <dsp:txXfrm>
        <a:off x="1587020" y="965279"/>
        <a:ext cx="724998" cy="319322"/>
      </dsp:txXfrm>
    </dsp:sp>
    <dsp:sp modelId="{24167824-4A94-4B2F-B2AD-E23F120E4479}">
      <dsp:nvSpPr>
        <dsp:cNvPr id="0" name=""/>
        <dsp:cNvSpPr/>
      </dsp:nvSpPr>
      <dsp:spPr>
        <a:xfrm rot="21360000">
          <a:off x="1542256" y="575843"/>
          <a:ext cx="759548" cy="353872"/>
        </a:xfrm>
        <a:prstGeom prst="roundRect">
          <a:avLst/>
        </a:prstGeom>
        <a:gradFill rotWithShape="0">
          <a:gsLst>
            <a:gs pos="0">
              <a:schemeClr val="accent5">
                <a:hueOff val="-3676673"/>
                <a:satOff val="-5114"/>
                <a:lumOff val="-1961"/>
                <a:alphaOff val="0"/>
                <a:satMod val="103000"/>
                <a:lumMod val="102000"/>
                <a:tint val="94000"/>
              </a:schemeClr>
            </a:gs>
            <a:gs pos="50000">
              <a:schemeClr val="accent5">
                <a:hueOff val="-3676673"/>
                <a:satOff val="-5114"/>
                <a:lumOff val="-1961"/>
                <a:alphaOff val="0"/>
                <a:satMod val="110000"/>
                <a:lumMod val="100000"/>
                <a:shade val="100000"/>
              </a:schemeClr>
            </a:gs>
            <a:gs pos="100000">
              <a:schemeClr val="accent5">
                <a:hueOff val="-3676673"/>
                <a:satOff val="-5114"/>
                <a:lumOff val="-1961"/>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Competition Rivalry</a:t>
          </a:r>
        </a:p>
      </dsp:txBody>
      <dsp:txXfrm>
        <a:off x="1559531" y="593118"/>
        <a:ext cx="724998" cy="319322"/>
      </dsp:txXfrm>
    </dsp:sp>
    <dsp:sp modelId="{A7035E7E-45A2-4F39-B7E0-D69A9B24A955}">
      <dsp:nvSpPr>
        <dsp:cNvPr id="0" name=""/>
        <dsp:cNvSpPr/>
      </dsp:nvSpPr>
      <dsp:spPr>
        <a:xfrm rot="21360000">
          <a:off x="2686227" y="1252499"/>
          <a:ext cx="759548" cy="353872"/>
        </a:xfrm>
        <a:prstGeom prst="roundRect">
          <a:avLst/>
        </a:prstGeom>
        <a:gradFill rotWithShape="0">
          <a:gsLst>
            <a:gs pos="0">
              <a:schemeClr val="accent5">
                <a:hueOff val="-5515009"/>
                <a:satOff val="-7671"/>
                <a:lumOff val="-2942"/>
                <a:alphaOff val="0"/>
                <a:satMod val="103000"/>
                <a:lumMod val="102000"/>
                <a:tint val="94000"/>
              </a:schemeClr>
            </a:gs>
            <a:gs pos="50000">
              <a:schemeClr val="accent5">
                <a:hueOff val="-5515009"/>
                <a:satOff val="-7671"/>
                <a:lumOff val="-2942"/>
                <a:alphaOff val="0"/>
                <a:satMod val="110000"/>
                <a:lumMod val="100000"/>
                <a:shade val="100000"/>
              </a:schemeClr>
            </a:gs>
            <a:gs pos="100000">
              <a:schemeClr val="accent5">
                <a:hueOff val="-5515009"/>
                <a:satOff val="-7671"/>
                <a:lumOff val="-2942"/>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Consumer Bargaining Power</a:t>
          </a:r>
        </a:p>
      </dsp:txBody>
      <dsp:txXfrm>
        <a:off x="2703502" y="1269774"/>
        <a:ext cx="724998" cy="319322"/>
      </dsp:txXfrm>
    </dsp:sp>
    <dsp:sp modelId="{F6EFCDF4-6626-43A2-8463-E8182B067F40}">
      <dsp:nvSpPr>
        <dsp:cNvPr id="0" name=""/>
        <dsp:cNvSpPr/>
      </dsp:nvSpPr>
      <dsp:spPr>
        <a:xfrm rot="21360000">
          <a:off x="2658738" y="871880"/>
          <a:ext cx="759548" cy="353872"/>
        </a:xfrm>
        <a:prstGeom prst="roundRect">
          <a:avLst/>
        </a:prstGeom>
        <a:gradFill rotWithShape="0">
          <a:gsLst>
            <a:gs pos="0">
              <a:schemeClr val="accent5">
                <a:hueOff val="-7353345"/>
                <a:satOff val="-10228"/>
                <a:lumOff val="-3922"/>
                <a:alphaOff val="0"/>
                <a:satMod val="103000"/>
                <a:lumMod val="102000"/>
                <a:tint val="94000"/>
              </a:schemeClr>
            </a:gs>
            <a:gs pos="50000">
              <a:schemeClr val="accent5">
                <a:hueOff val="-7353345"/>
                <a:satOff val="-10228"/>
                <a:lumOff val="-3922"/>
                <a:alphaOff val="0"/>
                <a:satMod val="110000"/>
                <a:lumMod val="100000"/>
                <a:shade val="100000"/>
              </a:schemeClr>
            </a:gs>
            <a:gs pos="100000">
              <a:schemeClr val="accent5">
                <a:hueOff val="-7353345"/>
                <a:satOff val="-10228"/>
                <a:lumOff val="-3922"/>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kern="1200"/>
            <a:t>Supplier  Bargaining Power</a:t>
          </a:r>
        </a:p>
      </dsp:txBody>
      <dsp:txXfrm>
        <a:off x="2676013" y="889155"/>
        <a:ext cx="724998" cy="319322"/>
      </dsp:txXfrm>
    </dsp:sp>
  </dsp:spTree>
</dsp:drawing>
</file>

<file path=word/diagrams/layout1.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61471-1FDE-45EF-AD14-B234F0858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2021-03-16T01:08:00Z</dcterms:created>
  <dcterms:modified xsi:type="dcterms:W3CDTF">2021-03-16T01:08:00Z</dcterms:modified>
</cp:coreProperties>
</file>