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61E" w:rsidRDefault="009B361E" w:rsidP="00216CDE">
      <w:pPr>
        <w:spacing w:line="480" w:lineRule="auto"/>
        <w:rPr>
          <w:rFonts w:ascii="Times New Roman" w:hAnsi="Times New Roman" w:cs="Times New Roman"/>
          <w:sz w:val="24"/>
          <w:szCs w:val="24"/>
        </w:rPr>
      </w:pPr>
    </w:p>
    <w:p w:rsidR="00B531B9" w:rsidRDefault="00B531B9" w:rsidP="00216CDE">
      <w:pPr>
        <w:spacing w:line="480" w:lineRule="auto"/>
        <w:rPr>
          <w:rFonts w:ascii="Times New Roman" w:hAnsi="Times New Roman" w:cs="Times New Roman"/>
          <w:sz w:val="24"/>
          <w:szCs w:val="24"/>
        </w:rPr>
      </w:pPr>
    </w:p>
    <w:p w:rsidR="00B531B9" w:rsidRDefault="00B531B9" w:rsidP="00216CDE">
      <w:pPr>
        <w:spacing w:line="480" w:lineRule="auto"/>
        <w:rPr>
          <w:rFonts w:ascii="Times New Roman" w:hAnsi="Times New Roman" w:cs="Times New Roman"/>
          <w:sz w:val="24"/>
          <w:szCs w:val="24"/>
        </w:rPr>
      </w:pPr>
    </w:p>
    <w:p w:rsidR="00B531B9" w:rsidRDefault="00B531B9" w:rsidP="00216CDE">
      <w:pPr>
        <w:spacing w:line="480" w:lineRule="auto"/>
        <w:rPr>
          <w:rFonts w:ascii="Times New Roman" w:hAnsi="Times New Roman" w:cs="Times New Roman"/>
          <w:sz w:val="24"/>
          <w:szCs w:val="24"/>
        </w:rPr>
      </w:pPr>
    </w:p>
    <w:p w:rsidR="009B361E" w:rsidRDefault="009B361E" w:rsidP="009B361E">
      <w:pPr>
        <w:tabs>
          <w:tab w:val="left" w:pos="3015"/>
        </w:tabs>
        <w:spacing w:line="480" w:lineRule="auto"/>
        <w:jc w:val="center"/>
        <w:rPr>
          <w:rFonts w:ascii="Times New Roman" w:hAnsi="Times New Roman" w:cs="Times New Roman"/>
          <w:sz w:val="24"/>
          <w:szCs w:val="24"/>
        </w:rPr>
      </w:pPr>
    </w:p>
    <w:p w:rsidR="009B361E" w:rsidRDefault="009B361E" w:rsidP="009B361E">
      <w:pPr>
        <w:tabs>
          <w:tab w:val="left" w:pos="3015"/>
        </w:tabs>
        <w:spacing w:line="480" w:lineRule="auto"/>
        <w:jc w:val="center"/>
        <w:rPr>
          <w:rFonts w:ascii="Times New Roman" w:hAnsi="Times New Roman" w:cs="Times New Roman"/>
          <w:sz w:val="24"/>
          <w:szCs w:val="24"/>
        </w:rPr>
      </w:pPr>
    </w:p>
    <w:p w:rsidR="009B361E" w:rsidRPr="00F0281B" w:rsidRDefault="009B361E" w:rsidP="009B361E">
      <w:pPr>
        <w:tabs>
          <w:tab w:val="left" w:pos="3015"/>
        </w:tabs>
        <w:spacing w:line="480" w:lineRule="auto"/>
        <w:jc w:val="center"/>
        <w:rPr>
          <w:rFonts w:ascii="Times New Roman" w:hAnsi="Times New Roman" w:cs="Times New Roman"/>
          <w:sz w:val="24"/>
          <w:szCs w:val="24"/>
        </w:rPr>
      </w:pPr>
      <w:r>
        <w:rPr>
          <w:rFonts w:ascii="Times New Roman" w:hAnsi="Times New Roman" w:cs="Times New Roman"/>
          <w:sz w:val="24"/>
          <w:szCs w:val="24"/>
        </w:rPr>
        <w:t>Forces Influencing Ghetto Life</w:t>
      </w:r>
    </w:p>
    <w:p w:rsidR="009B361E" w:rsidRPr="00F0281B" w:rsidRDefault="00E90123" w:rsidP="009B361E">
      <w:pPr>
        <w:tabs>
          <w:tab w:val="left" w:pos="3015"/>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B361E" w:rsidRPr="00F0281B" w:rsidRDefault="00E90123" w:rsidP="009B361E">
      <w:pPr>
        <w:tabs>
          <w:tab w:val="left" w:pos="3015"/>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B361E" w:rsidRDefault="00E90123" w:rsidP="009B361E">
      <w:pPr>
        <w:tabs>
          <w:tab w:val="left" w:pos="301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B361E" w:rsidRDefault="009B361E" w:rsidP="00216CDE">
      <w:pPr>
        <w:spacing w:line="480" w:lineRule="auto"/>
        <w:rPr>
          <w:rFonts w:ascii="Times New Roman" w:hAnsi="Times New Roman" w:cs="Times New Roman"/>
          <w:sz w:val="24"/>
          <w:szCs w:val="24"/>
        </w:rPr>
      </w:pPr>
    </w:p>
    <w:p w:rsidR="009B361E" w:rsidRDefault="009B361E">
      <w:pPr>
        <w:rPr>
          <w:rFonts w:ascii="Times New Roman" w:hAnsi="Times New Roman" w:cs="Times New Roman"/>
          <w:sz w:val="24"/>
          <w:szCs w:val="24"/>
        </w:rPr>
      </w:pPr>
      <w:r>
        <w:rPr>
          <w:rFonts w:ascii="Times New Roman" w:hAnsi="Times New Roman" w:cs="Times New Roman"/>
          <w:sz w:val="24"/>
          <w:szCs w:val="24"/>
        </w:rPr>
        <w:br w:type="page"/>
      </w:r>
    </w:p>
    <w:p w:rsidR="00B531B9" w:rsidRDefault="00B531B9" w:rsidP="00B531B9">
      <w:pPr>
        <w:tabs>
          <w:tab w:val="left" w:pos="3015"/>
        </w:tabs>
        <w:spacing w:after="160" w:line="480" w:lineRule="auto"/>
        <w:ind w:firstLine="567"/>
        <w:jc w:val="center"/>
        <w:rPr>
          <w:rFonts w:ascii="Times New Roman" w:hAnsi="Times New Roman" w:cs="Times New Roman"/>
          <w:sz w:val="24"/>
          <w:szCs w:val="24"/>
        </w:rPr>
      </w:pPr>
      <w:r>
        <w:rPr>
          <w:rFonts w:ascii="Times New Roman" w:hAnsi="Times New Roman" w:cs="Times New Roman"/>
          <w:sz w:val="24"/>
          <w:szCs w:val="24"/>
        </w:rPr>
        <w:lastRenderedPageBreak/>
        <w:t>Forces Influencing Ghetto Life</w:t>
      </w:r>
    </w:p>
    <w:p w:rsidR="00E90123" w:rsidRPr="00E90123" w:rsidRDefault="00E90123" w:rsidP="00B531B9">
      <w:pPr>
        <w:tabs>
          <w:tab w:val="left" w:pos="3015"/>
        </w:tabs>
        <w:spacing w:after="160" w:line="480" w:lineRule="auto"/>
        <w:ind w:firstLine="567"/>
        <w:jc w:val="center"/>
        <w:rPr>
          <w:rFonts w:ascii="Times New Roman" w:hAnsi="Times New Roman" w:cs="Times New Roman"/>
          <w:b/>
          <w:sz w:val="24"/>
          <w:szCs w:val="24"/>
        </w:rPr>
      </w:pPr>
      <w:r w:rsidRPr="00E90123">
        <w:rPr>
          <w:rFonts w:ascii="Times New Roman" w:hAnsi="Times New Roman" w:cs="Times New Roman"/>
          <w:b/>
          <w:sz w:val="24"/>
          <w:szCs w:val="24"/>
        </w:rPr>
        <w:t>Introduction</w:t>
      </w:r>
    </w:p>
    <w:p w:rsidR="00E90123" w:rsidRPr="00E90123" w:rsidRDefault="00E90123" w:rsidP="00E90123">
      <w:pPr>
        <w:tabs>
          <w:tab w:val="left" w:pos="3015"/>
        </w:tabs>
        <w:spacing w:after="160" w:line="480" w:lineRule="auto"/>
        <w:ind w:firstLine="567"/>
        <w:rPr>
          <w:rFonts w:ascii="Times New Roman" w:hAnsi="Times New Roman" w:cs="Times New Roman"/>
          <w:sz w:val="24"/>
          <w:szCs w:val="24"/>
        </w:rPr>
      </w:pPr>
      <w:r w:rsidRPr="00E90123">
        <w:rPr>
          <w:rFonts w:ascii="Times New Roman" w:hAnsi="Times New Roman" w:cs="Times New Roman"/>
          <w:sz w:val="24"/>
          <w:szCs w:val="24"/>
        </w:rPr>
        <w:t>G</w:t>
      </w:r>
      <w:r>
        <w:rPr>
          <w:rFonts w:ascii="Times New Roman" w:hAnsi="Times New Roman" w:cs="Times New Roman"/>
          <w:sz w:val="24"/>
          <w:szCs w:val="24"/>
        </w:rPr>
        <w:t>hettos didn't just happen but they occurred</w:t>
      </w:r>
      <w:r w:rsidRPr="00E90123">
        <w:rPr>
          <w:rFonts w:ascii="Times New Roman" w:hAnsi="Times New Roman" w:cs="Times New Roman"/>
          <w:sz w:val="24"/>
          <w:szCs w:val="24"/>
        </w:rPr>
        <w:t xml:space="preserve"> as a direct result of prejudice and racist political, economic and labor policies that greatly disadvantaged the Jews and black people both in America and Europe according to Mitchell Duneier in the book "Ghetto" The Invention of a Place, the History of an Idea.  Mitchel Duneier takes us back to the sixteenth century to trace the origin of the ghetto and its evolution to the present. Firstly she relates the rising of ghettos to white political reigns that were racially discriminative. Racial violence made it impossible for racial minorities to live in white neighborhoods.  Given the intensity and sensitiveness of the ghetto subject, it is important to understand the forces that led to ghettos and how these factors continue to influence the lives of residents and how they affect their daily activities. </w:t>
      </w:r>
    </w:p>
    <w:p w:rsidR="00E90123" w:rsidRPr="00E90123" w:rsidRDefault="00E90123" w:rsidP="00E90123">
      <w:pPr>
        <w:tabs>
          <w:tab w:val="left" w:pos="3015"/>
        </w:tabs>
        <w:spacing w:after="160" w:line="480" w:lineRule="auto"/>
        <w:ind w:firstLine="567"/>
        <w:jc w:val="center"/>
        <w:rPr>
          <w:rFonts w:ascii="Times New Roman" w:hAnsi="Times New Roman" w:cs="Times New Roman"/>
          <w:b/>
          <w:sz w:val="24"/>
          <w:szCs w:val="24"/>
        </w:rPr>
      </w:pPr>
      <w:r w:rsidRPr="00E90123">
        <w:rPr>
          <w:rFonts w:ascii="Times New Roman" w:hAnsi="Times New Roman" w:cs="Times New Roman"/>
          <w:b/>
          <w:sz w:val="24"/>
          <w:szCs w:val="24"/>
        </w:rPr>
        <w:t>Political, Economic and Cultural Factors</w:t>
      </w:r>
    </w:p>
    <w:p w:rsidR="00E90123" w:rsidRPr="00E90123" w:rsidRDefault="00E90123" w:rsidP="00E90123">
      <w:pPr>
        <w:tabs>
          <w:tab w:val="left" w:pos="3015"/>
        </w:tabs>
        <w:spacing w:after="160" w:line="480" w:lineRule="auto"/>
        <w:ind w:firstLine="567"/>
        <w:rPr>
          <w:rFonts w:ascii="Times New Roman" w:hAnsi="Times New Roman" w:cs="Times New Roman"/>
          <w:sz w:val="24"/>
          <w:szCs w:val="24"/>
        </w:rPr>
      </w:pPr>
      <w:r w:rsidRPr="00E90123">
        <w:rPr>
          <w:rFonts w:ascii="Times New Roman" w:hAnsi="Times New Roman" w:cs="Times New Roman"/>
          <w:sz w:val="24"/>
          <w:szCs w:val="24"/>
        </w:rPr>
        <w:t xml:space="preserve">The author believes that it's not possible to comprehend the issues of poverty and race and its place in today's America without looking back to ghettos in Europe where in march 29, 1516 the council of the city of Venice released a declaration that forced all Jews to live in segregation at copper foundry island called geto which gave rise to the term ghetto. It is also believed that during WWII, the Nazis established ghettos, where they confined Jews and Roman people within Eastern Europe (Wilson, 2011). These areas were documented and had entrance signage "Jewish quarters." They were later transformed to Nazi concentration camps after HeirichHilmmler issued a decree that dissolved ghettos. </w:t>
      </w:r>
    </w:p>
    <w:p w:rsidR="00E90123" w:rsidRPr="00E90123" w:rsidRDefault="00E90123" w:rsidP="00E90123">
      <w:pPr>
        <w:tabs>
          <w:tab w:val="left" w:pos="3015"/>
        </w:tabs>
        <w:spacing w:after="160" w:line="480" w:lineRule="auto"/>
        <w:ind w:firstLine="567"/>
        <w:rPr>
          <w:rFonts w:ascii="Times New Roman" w:hAnsi="Times New Roman" w:cs="Times New Roman"/>
          <w:sz w:val="24"/>
          <w:szCs w:val="24"/>
        </w:rPr>
      </w:pPr>
      <w:r w:rsidRPr="00E90123">
        <w:rPr>
          <w:rFonts w:ascii="Times New Roman" w:hAnsi="Times New Roman" w:cs="Times New Roman"/>
          <w:sz w:val="24"/>
          <w:szCs w:val="24"/>
        </w:rPr>
        <w:t xml:space="preserve">Mitchell Duneier's in-depth analysis of the history of ghettos and poverty clearly shows ghettos as a direct product of biased government policies and more so in the real estate sector. </w:t>
      </w:r>
      <w:r w:rsidRPr="00E90123">
        <w:rPr>
          <w:rFonts w:ascii="Times New Roman" w:hAnsi="Times New Roman" w:cs="Times New Roman"/>
          <w:sz w:val="24"/>
          <w:szCs w:val="24"/>
        </w:rPr>
        <w:lastRenderedPageBreak/>
        <w:t xml:space="preserve">The policies created between the 1940s and 1960s led to the development of ghettos. She defies the common belief that ghettos are a de-facto because people in ghettos don't have money to purchase houses elsewhere. Specific reference is when the Public Works Administration constructed houses across the country in an attempt to spur house ownership and job creation. Initial slums were demolished and public houses constructed that worsened the segregation problem. Though not completely integrated before, construction of segregated housing at Bay Area, St. Louis, Atlanta allocated houses ethnically. </w:t>
      </w:r>
    </w:p>
    <w:p w:rsidR="00E90123" w:rsidRPr="00E90123" w:rsidRDefault="00E90123" w:rsidP="00E90123">
      <w:pPr>
        <w:tabs>
          <w:tab w:val="left" w:pos="3015"/>
        </w:tabs>
        <w:spacing w:after="160" w:line="480" w:lineRule="auto"/>
        <w:ind w:firstLine="567"/>
        <w:rPr>
          <w:rFonts w:ascii="Times New Roman" w:hAnsi="Times New Roman" w:cs="Times New Roman"/>
          <w:sz w:val="24"/>
          <w:szCs w:val="24"/>
        </w:rPr>
      </w:pPr>
      <w:r w:rsidRPr="00E90123">
        <w:rPr>
          <w:rFonts w:ascii="Times New Roman" w:hAnsi="Times New Roman" w:cs="Times New Roman"/>
          <w:sz w:val="24"/>
          <w:szCs w:val="24"/>
        </w:rPr>
        <w:t xml:space="preserve">Since the 1990s to the early years of the 21st century, there was gradual wane on the publicity of the plight of poverty on ghetto dwellers. There was growing neglect of the poor neighborhood through reduced media coverage, political alienation where politicians no longer discussed inner-city challenges and even surprising quietness by the ghetto residents. This was a drastic shift from legal segregation to a more robust social unrest which led to violent riots at times in the 1960s leading to the ultimate assassination of Dr. Martin Luther King Jr. In the year 2005, concentrated poverty was exposed by hurricane Katrina in New Orleans. The living conditions of people trapped in houses and apartments were extremely devastating to the general public. The disaster revealed how residents of inner-city ghetto residents of New Orleans lived in abject poverty. Though evacuation alerts were issued in advance, many could not afford automobile or transport money to move elsewhere. It is after Katrina that the government and authorities turned their attention to these poor neighborhoods. It is a common belief by white Americans that poverty is a reflection of personal inadequacies and shortcomings though it is clearly evident that segregation, discrimination, failing public schools and lack of economic opportunities in ghettos adversely contributes to the poverty situation.    </w:t>
      </w:r>
    </w:p>
    <w:p w:rsidR="00E90123" w:rsidRPr="00E90123" w:rsidRDefault="00E90123" w:rsidP="00E90123">
      <w:pPr>
        <w:tabs>
          <w:tab w:val="left" w:pos="3015"/>
        </w:tabs>
        <w:spacing w:after="160" w:line="480" w:lineRule="auto"/>
        <w:ind w:firstLine="567"/>
        <w:rPr>
          <w:rFonts w:ascii="Times New Roman" w:hAnsi="Times New Roman" w:cs="Times New Roman"/>
          <w:sz w:val="24"/>
          <w:szCs w:val="24"/>
        </w:rPr>
      </w:pPr>
      <w:r w:rsidRPr="00E90123">
        <w:rPr>
          <w:rFonts w:ascii="Times New Roman" w:hAnsi="Times New Roman" w:cs="Times New Roman"/>
          <w:sz w:val="24"/>
          <w:szCs w:val="24"/>
        </w:rPr>
        <w:lastRenderedPageBreak/>
        <w:t xml:space="preserve">According to Wilson (2011), the establishment of the Federal Housing Administration (FHA) in 1934 after the great depression was aimed to enable citizens to own houses through mortgage underwriting. After WWII, the institution, however, contributed to the decay of inner-city ghettos by withholding this mortgage capital and by making it difficult to attract and retain people who could still afford houses. The FHA was completely selective in their funding, completely neglecting specific urban neighborhoods (Wilson, 2018). Due to redlining, black people and Jews hoping to purchase houses in areas with white Americans or European immigrants were denied mortgage despite their financial qualification. </w:t>
      </w:r>
    </w:p>
    <w:p w:rsidR="00E90123" w:rsidRPr="00E90123" w:rsidRDefault="00E90123" w:rsidP="00E90123">
      <w:pPr>
        <w:tabs>
          <w:tab w:val="left" w:pos="3015"/>
        </w:tabs>
        <w:spacing w:after="160" w:line="480" w:lineRule="auto"/>
        <w:ind w:firstLine="567"/>
        <w:jc w:val="center"/>
        <w:rPr>
          <w:rFonts w:ascii="Times New Roman" w:hAnsi="Times New Roman" w:cs="Times New Roman"/>
          <w:b/>
          <w:sz w:val="24"/>
          <w:szCs w:val="24"/>
        </w:rPr>
      </w:pPr>
      <w:r w:rsidRPr="00E90123">
        <w:rPr>
          <w:rFonts w:ascii="Times New Roman" w:hAnsi="Times New Roman" w:cs="Times New Roman"/>
          <w:b/>
          <w:sz w:val="24"/>
          <w:szCs w:val="24"/>
        </w:rPr>
        <w:t>Race, Class, and Gender in Ghetto</w:t>
      </w:r>
    </w:p>
    <w:p w:rsidR="00E90123" w:rsidRPr="00E90123" w:rsidRDefault="00E90123" w:rsidP="00E90123">
      <w:pPr>
        <w:tabs>
          <w:tab w:val="left" w:pos="3015"/>
        </w:tabs>
        <w:spacing w:after="160" w:line="480" w:lineRule="auto"/>
        <w:ind w:firstLine="567"/>
        <w:rPr>
          <w:rFonts w:ascii="Times New Roman" w:hAnsi="Times New Roman" w:cs="Times New Roman"/>
          <w:sz w:val="24"/>
          <w:szCs w:val="24"/>
        </w:rPr>
      </w:pPr>
      <w:r w:rsidRPr="00E90123">
        <w:rPr>
          <w:rFonts w:ascii="Times New Roman" w:hAnsi="Times New Roman" w:cs="Times New Roman"/>
          <w:sz w:val="24"/>
          <w:szCs w:val="24"/>
        </w:rPr>
        <w:t>Mitchell further explains categorically that ghettos rose due to white peoples' moral failure to recognize and make sacrifices aimed at benefitting the racial minorities. Even with an attitude change, African American ghettos remain to be the reference point for understanding segregation and poverty. By employing the subtle treatment of prominent figures like Kenneth Cark, Horace Cayton, Geoffrey Canada, and William Julius Wilson Canada, Mitchell reveals the blindness and lack of insight in the policies meant to empower poor people. The author notes that race and poverty cannot be separated from the scholars and activists' struggle, given the direct discrimination and prejudice within schools and elsewhere where white academics overshadowed African American scholars.</w:t>
      </w:r>
    </w:p>
    <w:p w:rsidR="00E90123" w:rsidRPr="00E90123" w:rsidRDefault="00E90123" w:rsidP="00E90123">
      <w:pPr>
        <w:tabs>
          <w:tab w:val="left" w:pos="3015"/>
        </w:tabs>
        <w:spacing w:after="160" w:line="480" w:lineRule="auto"/>
        <w:ind w:firstLine="567"/>
        <w:rPr>
          <w:rFonts w:ascii="Times New Roman" w:hAnsi="Times New Roman" w:cs="Times New Roman"/>
          <w:sz w:val="24"/>
          <w:szCs w:val="24"/>
        </w:rPr>
      </w:pPr>
      <w:r w:rsidRPr="00E90123">
        <w:rPr>
          <w:rFonts w:ascii="Times New Roman" w:hAnsi="Times New Roman" w:cs="Times New Roman"/>
          <w:sz w:val="24"/>
          <w:szCs w:val="24"/>
        </w:rPr>
        <w:t>In the 1960s, real estate deeds and covenants still expressed autonomous segregation regardless of the increasing pressure to integrate. The agreements started retaining restrictions and zoning by class, allowing only affluent blacks and Jew in these settlements leading to a concentration of poor urban residents.</w:t>
      </w:r>
    </w:p>
    <w:p w:rsidR="00E90123" w:rsidRPr="00E90123" w:rsidRDefault="00E90123" w:rsidP="00E90123">
      <w:pPr>
        <w:tabs>
          <w:tab w:val="left" w:pos="3015"/>
        </w:tabs>
        <w:spacing w:after="160" w:line="480" w:lineRule="auto"/>
        <w:ind w:firstLine="567"/>
        <w:rPr>
          <w:rFonts w:ascii="Times New Roman" w:hAnsi="Times New Roman" w:cs="Times New Roman"/>
          <w:sz w:val="24"/>
          <w:szCs w:val="24"/>
        </w:rPr>
      </w:pPr>
      <w:r w:rsidRPr="00E90123">
        <w:rPr>
          <w:rFonts w:ascii="Times New Roman" w:hAnsi="Times New Roman" w:cs="Times New Roman"/>
          <w:sz w:val="24"/>
          <w:szCs w:val="24"/>
        </w:rPr>
        <w:lastRenderedPageBreak/>
        <w:t xml:space="preserve">Moreover, banks funding the FHA created loan covenants restricting the sale of the houses to African-Americans from the Construction Company or resale by original white owners. Among projects quoted by Mitchel include; the Levittown project in Long Island, New York where 17,000 houses were constructed, West Lake in Daly City, San Francisco where 5,000 houses were developed, Bay area in St. Louis, Atlanta, and many more examples. Consequently, white families were lured out of cities to the growing suburbs where they were offered loans and mortgages without a down payment. Their movement resulted in the movement of industries to these suburbs since they owned the majority of the capital resources. Due to restricted entry by federal laws to these white-dominated suburbs, African Americans had fewer or no jobs to support their livelihoods (Wilson, 2018). </w:t>
      </w:r>
    </w:p>
    <w:p w:rsidR="00E90123" w:rsidRPr="00E90123" w:rsidRDefault="00E90123" w:rsidP="00E90123">
      <w:pPr>
        <w:tabs>
          <w:tab w:val="left" w:pos="3015"/>
        </w:tabs>
        <w:spacing w:after="160" w:line="480" w:lineRule="auto"/>
        <w:ind w:firstLine="567"/>
        <w:rPr>
          <w:rFonts w:ascii="Times New Roman" w:hAnsi="Times New Roman" w:cs="Times New Roman"/>
          <w:sz w:val="24"/>
          <w:szCs w:val="24"/>
        </w:rPr>
      </w:pPr>
      <w:r w:rsidRPr="00E90123">
        <w:rPr>
          <w:rFonts w:ascii="Times New Roman" w:hAnsi="Times New Roman" w:cs="Times New Roman"/>
          <w:sz w:val="24"/>
          <w:szCs w:val="24"/>
        </w:rPr>
        <w:t xml:space="preserve">When Richard Nixon appointed George Romney as the secretary of housing in 1968, he started a desegregation project "Open Communities" that was strongly protested by white suburbs. As Nixon's agenda of luring more whites from the Democratic Party, Romney was interfering with his political strategy and the program was then abolished. Those segregation and open communities' agenda was never revisited since then. The segregations resulted in White Americans owning a house while African Americans remained to occupy public houses. Such segregations have resulted in the current huge wealth gap between white families and African American families. </w:t>
      </w:r>
    </w:p>
    <w:p w:rsidR="00E90123" w:rsidRPr="00E90123" w:rsidRDefault="00E90123" w:rsidP="00E90123">
      <w:pPr>
        <w:tabs>
          <w:tab w:val="left" w:pos="3015"/>
        </w:tabs>
        <w:spacing w:after="160" w:line="480" w:lineRule="auto"/>
        <w:ind w:firstLine="567"/>
        <w:jc w:val="center"/>
        <w:rPr>
          <w:rFonts w:ascii="Times New Roman" w:hAnsi="Times New Roman" w:cs="Times New Roman"/>
          <w:b/>
          <w:sz w:val="24"/>
          <w:szCs w:val="24"/>
        </w:rPr>
      </w:pPr>
      <w:r w:rsidRPr="00E90123">
        <w:rPr>
          <w:rFonts w:ascii="Times New Roman" w:hAnsi="Times New Roman" w:cs="Times New Roman"/>
          <w:b/>
          <w:sz w:val="24"/>
          <w:szCs w:val="24"/>
        </w:rPr>
        <w:t>How space affects life in the ghetto</w:t>
      </w:r>
    </w:p>
    <w:p w:rsidR="00E90123" w:rsidRPr="00E90123" w:rsidRDefault="00E90123" w:rsidP="00E90123">
      <w:pPr>
        <w:tabs>
          <w:tab w:val="left" w:pos="3015"/>
        </w:tabs>
        <w:spacing w:after="160" w:line="480" w:lineRule="auto"/>
        <w:ind w:firstLine="567"/>
        <w:rPr>
          <w:rFonts w:ascii="Times New Roman" w:hAnsi="Times New Roman" w:cs="Times New Roman"/>
          <w:sz w:val="24"/>
          <w:szCs w:val="24"/>
        </w:rPr>
      </w:pPr>
      <w:r w:rsidRPr="00E90123">
        <w:rPr>
          <w:rFonts w:ascii="Times New Roman" w:hAnsi="Times New Roman" w:cs="Times New Roman"/>
          <w:sz w:val="24"/>
          <w:szCs w:val="24"/>
        </w:rPr>
        <w:t xml:space="preserve">As earlier noted, the administration in Venice administratively required all Jews to live at a confined copper foundry, geto. This formalized isolation of Jews spread to Rome and within no time to entire Europe. All along Jews lived and worked in these ethnic neighborhoods. Mitchel relates such social isolation of the Jews to what Black Americans experienced (White, 2007). </w:t>
      </w:r>
      <w:r w:rsidRPr="00E90123">
        <w:rPr>
          <w:rFonts w:ascii="Times New Roman" w:hAnsi="Times New Roman" w:cs="Times New Roman"/>
          <w:sz w:val="24"/>
          <w:szCs w:val="24"/>
        </w:rPr>
        <w:lastRenderedPageBreak/>
        <w:t xml:space="preserve">Such segregations limited movement of Jews and later back Americans which eventually marginalized them economically within the spaces they were confined in. Mitchel is completely perturbed by the events that led to the segregation of black Americans. She believes that a lot of lives could have been saved had the African American scholars been allowed to operate in the same spaces like their white counterparts. For instance, she recognizes the efforts of Caytonwhile at the University of Chicago. </w:t>
      </w:r>
    </w:p>
    <w:p w:rsidR="00E90123" w:rsidRPr="00E90123" w:rsidRDefault="00E90123" w:rsidP="00E90123">
      <w:pPr>
        <w:tabs>
          <w:tab w:val="left" w:pos="3015"/>
        </w:tabs>
        <w:spacing w:after="160" w:line="480" w:lineRule="auto"/>
        <w:ind w:firstLine="567"/>
        <w:rPr>
          <w:rFonts w:ascii="Times New Roman" w:hAnsi="Times New Roman" w:cs="Times New Roman"/>
          <w:sz w:val="24"/>
          <w:szCs w:val="24"/>
        </w:rPr>
      </w:pPr>
      <w:r w:rsidRPr="00E90123">
        <w:rPr>
          <w:rFonts w:ascii="Times New Roman" w:hAnsi="Times New Roman" w:cs="Times New Roman"/>
          <w:sz w:val="24"/>
          <w:szCs w:val="24"/>
        </w:rPr>
        <w:t xml:space="preserve">Cayton was adamant that being black was involuntary and the restrictive covenant banning blacks from Hyde Park was synonymous to the degrading living conditions of African Americans that were characterized with impoverishment and overcrowding. The author closely explores the urban life of black Americans in restricted neighborhoods. The works of Cayton refer to the state of the ghetto as a cycle of inside decay and outside repression because of what African Americans experienced inside and outside of ghettos. Ghettos were welcoming to minority communities, and democracy prevailed inside, however, not many economic activities went on inside meaning people had to go out and look for jobs. Exclude and control was the primary tool used by whites to rule over African Americans.  African Americans could not mingle with white Americans until a Supreme Court ruling in 1917 declared that only private entities were allowed to segregate. However, the ruling led to the rise of private restricted private covenants further aggravating segregation.  To date minority communities are still confined in familiar neighborhoods and continue to struggle to reach the same economic level as their white counterparts </w:t>
      </w:r>
    </w:p>
    <w:p w:rsidR="00B856AE" w:rsidRDefault="00B856AE" w:rsidP="009B361E">
      <w:pPr>
        <w:tabs>
          <w:tab w:val="left" w:pos="3015"/>
        </w:tabs>
        <w:spacing w:after="160" w:line="480" w:lineRule="auto"/>
        <w:ind w:firstLine="567"/>
        <w:rPr>
          <w:rFonts w:ascii="Times New Roman" w:hAnsi="Times New Roman" w:cs="Times New Roman"/>
          <w:sz w:val="24"/>
          <w:szCs w:val="24"/>
        </w:rPr>
      </w:pPr>
    </w:p>
    <w:p w:rsidR="00B856AE" w:rsidRDefault="00B856AE" w:rsidP="009B361E">
      <w:pPr>
        <w:tabs>
          <w:tab w:val="left" w:pos="3015"/>
        </w:tabs>
        <w:spacing w:after="160" w:line="480" w:lineRule="auto"/>
        <w:ind w:firstLine="567"/>
        <w:rPr>
          <w:rFonts w:ascii="Times New Roman" w:hAnsi="Times New Roman" w:cs="Times New Roman"/>
          <w:sz w:val="24"/>
          <w:szCs w:val="24"/>
        </w:rPr>
      </w:pPr>
      <w:r>
        <w:rPr>
          <w:rFonts w:ascii="Times New Roman" w:hAnsi="Times New Roman" w:cs="Times New Roman"/>
          <w:sz w:val="24"/>
          <w:szCs w:val="24"/>
        </w:rPr>
        <w:br w:type="page"/>
      </w:r>
    </w:p>
    <w:p w:rsidR="00FF53B0" w:rsidRPr="00216CDE" w:rsidRDefault="00B856AE" w:rsidP="00B531B9">
      <w:pPr>
        <w:tabs>
          <w:tab w:val="left" w:pos="3015"/>
        </w:tabs>
        <w:spacing w:after="160" w:line="480" w:lineRule="auto"/>
        <w:ind w:left="567" w:hanging="567"/>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560BE" w:rsidRPr="005560BE" w:rsidRDefault="005560BE" w:rsidP="009B361E">
      <w:pPr>
        <w:tabs>
          <w:tab w:val="left" w:pos="3015"/>
        </w:tabs>
        <w:spacing w:after="160" w:line="480" w:lineRule="auto"/>
        <w:ind w:left="567" w:hanging="567"/>
        <w:rPr>
          <w:rFonts w:ascii="Times New Roman" w:hAnsi="Times New Roman" w:cs="Times New Roman"/>
          <w:sz w:val="24"/>
          <w:szCs w:val="24"/>
        </w:rPr>
      </w:pPr>
      <w:r w:rsidRPr="005560BE">
        <w:rPr>
          <w:rFonts w:ascii="Times New Roman" w:hAnsi="Times New Roman" w:cs="Times New Roman"/>
          <w:sz w:val="24"/>
          <w:szCs w:val="24"/>
        </w:rPr>
        <w:t>Duneier, M. (2016). Ghetto: The invention of a place, the history of an idea. Macmillan.</w:t>
      </w:r>
    </w:p>
    <w:p w:rsidR="00B856AE" w:rsidRPr="009B361E" w:rsidRDefault="00B856AE" w:rsidP="009B361E">
      <w:pPr>
        <w:tabs>
          <w:tab w:val="left" w:pos="3015"/>
        </w:tabs>
        <w:spacing w:after="160" w:line="480" w:lineRule="auto"/>
        <w:ind w:left="567" w:hanging="567"/>
        <w:rPr>
          <w:rFonts w:ascii="Times New Roman" w:hAnsi="Times New Roman" w:cs="Times New Roman"/>
          <w:sz w:val="24"/>
          <w:szCs w:val="24"/>
        </w:rPr>
      </w:pPr>
      <w:r w:rsidRPr="009B361E">
        <w:rPr>
          <w:rFonts w:ascii="Times New Roman" w:hAnsi="Times New Roman" w:cs="Times New Roman"/>
          <w:sz w:val="24"/>
          <w:szCs w:val="24"/>
        </w:rPr>
        <w:t>White, J. A. (2007). The hollow and the ghetto: Space, race, and the politics of poverty. Politics &amp; Gender, 3(2), 271-280.</w:t>
      </w:r>
    </w:p>
    <w:p w:rsidR="00B856AE" w:rsidRPr="009B361E" w:rsidRDefault="00B856AE" w:rsidP="009B361E">
      <w:pPr>
        <w:tabs>
          <w:tab w:val="left" w:pos="3015"/>
        </w:tabs>
        <w:spacing w:after="160" w:line="480" w:lineRule="auto"/>
        <w:ind w:left="567" w:hanging="567"/>
        <w:rPr>
          <w:rFonts w:ascii="Times New Roman" w:hAnsi="Times New Roman" w:cs="Times New Roman"/>
          <w:sz w:val="24"/>
          <w:szCs w:val="24"/>
        </w:rPr>
      </w:pPr>
      <w:r w:rsidRPr="00B856AE">
        <w:rPr>
          <w:rFonts w:ascii="Times New Roman" w:hAnsi="Times New Roman" w:cs="Times New Roman"/>
          <w:sz w:val="24"/>
          <w:szCs w:val="24"/>
        </w:rPr>
        <w:t>Wilson, W. J. (2011). Being poor, black, and American: The impact of political, economic, and cultural forces.American Educator, 35(1), 10.</w:t>
      </w:r>
    </w:p>
    <w:p w:rsidR="00B856AE" w:rsidRPr="00B856AE" w:rsidRDefault="00B856AE" w:rsidP="009B361E">
      <w:pPr>
        <w:tabs>
          <w:tab w:val="left" w:pos="3015"/>
        </w:tabs>
        <w:spacing w:after="160" w:line="480" w:lineRule="auto"/>
        <w:ind w:left="567" w:hanging="567"/>
        <w:rPr>
          <w:rFonts w:ascii="Times New Roman" w:hAnsi="Times New Roman" w:cs="Times New Roman"/>
          <w:sz w:val="24"/>
          <w:szCs w:val="24"/>
        </w:rPr>
      </w:pPr>
      <w:r w:rsidRPr="00B856AE">
        <w:rPr>
          <w:rFonts w:ascii="Times New Roman" w:hAnsi="Times New Roman" w:cs="Times New Roman"/>
          <w:sz w:val="24"/>
          <w:szCs w:val="24"/>
        </w:rPr>
        <w:t>Wilson, W. J. (2018). Jobless poverty: A new form of social dislocation in the inner-city ghetto. In Inequality (pp. 87-102).Routledge.</w:t>
      </w:r>
    </w:p>
    <w:p w:rsidR="00B856AE" w:rsidRPr="00B856AE" w:rsidRDefault="00B856AE" w:rsidP="009B361E">
      <w:pPr>
        <w:tabs>
          <w:tab w:val="left" w:pos="3015"/>
        </w:tabs>
        <w:spacing w:after="160" w:line="480" w:lineRule="auto"/>
        <w:ind w:left="567" w:hanging="567"/>
        <w:rPr>
          <w:rFonts w:ascii="Times New Roman" w:hAnsi="Times New Roman" w:cs="Times New Roman"/>
          <w:sz w:val="24"/>
          <w:szCs w:val="24"/>
        </w:rPr>
      </w:pPr>
    </w:p>
    <w:p w:rsidR="00B856AE" w:rsidRPr="00216CDE" w:rsidRDefault="00B856AE" w:rsidP="009B361E">
      <w:pPr>
        <w:tabs>
          <w:tab w:val="left" w:pos="3015"/>
        </w:tabs>
        <w:spacing w:after="160" w:line="480" w:lineRule="auto"/>
        <w:ind w:left="567" w:hanging="567"/>
        <w:rPr>
          <w:rFonts w:ascii="Times New Roman" w:hAnsi="Times New Roman" w:cs="Times New Roman"/>
          <w:sz w:val="24"/>
          <w:szCs w:val="24"/>
        </w:rPr>
      </w:pPr>
    </w:p>
    <w:p w:rsidR="009B49CF" w:rsidRPr="00216CDE" w:rsidRDefault="002D6095" w:rsidP="00216CDE">
      <w:pPr>
        <w:spacing w:line="480" w:lineRule="auto"/>
        <w:rPr>
          <w:rFonts w:ascii="Times New Roman" w:hAnsi="Times New Roman" w:cs="Times New Roman"/>
          <w:sz w:val="24"/>
          <w:szCs w:val="24"/>
        </w:rPr>
      </w:pPr>
    </w:p>
    <w:sectPr w:rsidR="009B49CF" w:rsidRPr="00216CDE" w:rsidSect="009B361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6095" w:rsidRDefault="002D6095" w:rsidP="009B361E">
      <w:pPr>
        <w:spacing w:after="0" w:line="240" w:lineRule="auto"/>
      </w:pPr>
      <w:r>
        <w:separator/>
      </w:r>
    </w:p>
  </w:endnote>
  <w:endnote w:type="continuationSeparator" w:id="1">
    <w:p w:rsidR="002D6095" w:rsidRDefault="002D6095" w:rsidP="009B36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6095" w:rsidRDefault="002D6095" w:rsidP="009B361E">
      <w:pPr>
        <w:spacing w:after="0" w:line="240" w:lineRule="auto"/>
      </w:pPr>
      <w:r>
        <w:separator/>
      </w:r>
    </w:p>
  </w:footnote>
  <w:footnote w:type="continuationSeparator" w:id="1">
    <w:p w:rsidR="002D6095" w:rsidRDefault="002D6095" w:rsidP="009B36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61E" w:rsidRPr="00F0281B" w:rsidRDefault="009B361E" w:rsidP="009B361E">
    <w:pPr>
      <w:tabs>
        <w:tab w:val="left" w:pos="3015"/>
      </w:tabs>
      <w:spacing w:line="480" w:lineRule="auto"/>
      <w:rPr>
        <w:rFonts w:ascii="Times New Roman" w:hAnsi="Times New Roman" w:cs="Times New Roman"/>
        <w:sz w:val="24"/>
        <w:szCs w:val="24"/>
      </w:rPr>
    </w:pPr>
    <w:r>
      <w:rPr>
        <w:rFonts w:ascii="Times New Roman" w:hAnsi="Times New Roman" w:cs="Times New Roman"/>
        <w:sz w:val="24"/>
        <w:szCs w:val="24"/>
      </w:rPr>
      <w:t>FORCES INFLUENCING GHETTO LIFE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442957065"/>
        <w:docPartObj>
          <w:docPartGallery w:val="Page Numbers (Top of Page)"/>
          <w:docPartUnique/>
        </w:docPartObj>
      </w:sdtPr>
      <w:sdtEndPr>
        <w:rPr>
          <w:noProof/>
        </w:rPr>
      </w:sdtEndPr>
      <w:sdtContent>
        <w:r w:rsidR="0080354B">
          <w:fldChar w:fldCharType="begin"/>
        </w:r>
        <w:r>
          <w:instrText xml:space="preserve"> PAGE   \* MERGEFORMAT </w:instrText>
        </w:r>
        <w:r w:rsidR="0080354B">
          <w:fldChar w:fldCharType="separate"/>
        </w:r>
        <w:r w:rsidR="00E90123">
          <w:rPr>
            <w:noProof/>
          </w:rPr>
          <w:t>7</w:t>
        </w:r>
        <w:r w:rsidR="0080354B">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61E" w:rsidRPr="00F0281B" w:rsidRDefault="009B361E" w:rsidP="009B361E">
    <w:pPr>
      <w:tabs>
        <w:tab w:val="left" w:pos="3015"/>
      </w:tabs>
      <w:spacing w:line="480" w:lineRule="auto"/>
      <w:rPr>
        <w:rFonts w:ascii="Times New Roman" w:hAnsi="Times New Roman" w:cs="Times New Roman"/>
        <w:sz w:val="24"/>
        <w:szCs w:val="24"/>
      </w:rPr>
    </w:pPr>
    <w:r>
      <w:rPr>
        <w:rFonts w:ascii="Times New Roman" w:hAnsi="Times New Roman" w:cs="Times New Roman"/>
        <w:sz w:val="24"/>
        <w:szCs w:val="24"/>
      </w:rPr>
      <w:t>Running Head: FORCES INFLUENCING GHETTO LIFE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154137940"/>
        <w:docPartObj>
          <w:docPartGallery w:val="Page Numbers (Top of Page)"/>
          <w:docPartUnique/>
        </w:docPartObj>
      </w:sdtPr>
      <w:sdtEndPr>
        <w:rPr>
          <w:noProof/>
        </w:rPr>
      </w:sdtEndPr>
      <w:sdtContent>
        <w:r w:rsidR="0080354B">
          <w:fldChar w:fldCharType="begin"/>
        </w:r>
        <w:r>
          <w:instrText xml:space="preserve"> PAGE   \* MERGEFORMAT </w:instrText>
        </w:r>
        <w:r w:rsidR="0080354B">
          <w:fldChar w:fldCharType="separate"/>
        </w:r>
        <w:r w:rsidR="00E90123">
          <w:rPr>
            <w:noProof/>
          </w:rPr>
          <w:t>1</w:t>
        </w:r>
        <w:r w:rsidR="0080354B">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B696D"/>
    <w:rsid w:val="00006E68"/>
    <w:rsid w:val="0001341E"/>
    <w:rsid w:val="00027C21"/>
    <w:rsid w:val="000570B1"/>
    <w:rsid w:val="00071CF5"/>
    <w:rsid w:val="001521BF"/>
    <w:rsid w:val="001875AA"/>
    <w:rsid w:val="0019653D"/>
    <w:rsid w:val="001B1A1E"/>
    <w:rsid w:val="001E076A"/>
    <w:rsid w:val="001E54E4"/>
    <w:rsid w:val="001F7DC7"/>
    <w:rsid w:val="00216CDE"/>
    <w:rsid w:val="002647D4"/>
    <w:rsid w:val="002D6095"/>
    <w:rsid w:val="002E022A"/>
    <w:rsid w:val="003401FF"/>
    <w:rsid w:val="003A216B"/>
    <w:rsid w:val="003B56EA"/>
    <w:rsid w:val="00404A3C"/>
    <w:rsid w:val="00462D2E"/>
    <w:rsid w:val="00487F6F"/>
    <w:rsid w:val="004A2DA4"/>
    <w:rsid w:val="004E1CD6"/>
    <w:rsid w:val="00515A87"/>
    <w:rsid w:val="00537018"/>
    <w:rsid w:val="00544208"/>
    <w:rsid w:val="005560BE"/>
    <w:rsid w:val="005860D0"/>
    <w:rsid w:val="005D5710"/>
    <w:rsid w:val="005E3B90"/>
    <w:rsid w:val="006B3251"/>
    <w:rsid w:val="00765EBA"/>
    <w:rsid w:val="00782D40"/>
    <w:rsid w:val="0080354B"/>
    <w:rsid w:val="00833F55"/>
    <w:rsid w:val="0086347B"/>
    <w:rsid w:val="00870C57"/>
    <w:rsid w:val="009801B2"/>
    <w:rsid w:val="009A7FA3"/>
    <w:rsid w:val="009B361E"/>
    <w:rsid w:val="009B7EAB"/>
    <w:rsid w:val="00A06DDF"/>
    <w:rsid w:val="00A25D25"/>
    <w:rsid w:val="00A4274B"/>
    <w:rsid w:val="00AD6DC0"/>
    <w:rsid w:val="00B17DF0"/>
    <w:rsid w:val="00B33B87"/>
    <w:rsid w:val="00B41D1D"/>
    <w:rsid w:val="00B43D4B"/>
    <w:rsid w:val="00B531B9"/>
    <w:rsid w:val="00B856AE"/>
    <w:rsid w:val="00BA3C6A"/>
    <w:rsid w:val="00BA3EA6"/>
    <w:rsid w:val="00C44E9E"/>
    <w:rsid w:val="00C86879"/>
    <w:rsid w:val="00CB4A62"/>
    <w:rsid w:val="00D24DCF"/>
    <w:rsid w:val="00DF6E75"/>
    <w:rsid w:val="00E14C57"/>
    <w:rsid w:val="00E90123"/>
    <w:rsid w:val="00ED7F78"/>
    <w:rsid w:val="00EE2DB2"/>
    <w:rsid w:val="00EF5C48"/>
    <w:rsid w:val="00EF5EEC"/>
    <w:rsid w:val="00F56F53"/>
    <w:rsid w:val="00F74724"/>
    <w:rsid w:val="00FB696D"/>
    <w:rsid w:val="00FF53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5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3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61E"/>
  </w:style>
  <w:style w:type="paragraph" w:styleId="Footer">
    <w:name w:val="footer"/>
    <w:basedOn w:val="Normal"/>
    <w:link w:val="FooterChar"/>
    <w:uiPriority w:val="99"/>
    <w:unhideWhenUsed/>
    <w:rsid w:val="009B3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6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3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61E"/>
  </w:style>
  <w:style w:type="paragraph" w:styleId="Footer">
    <w:name w:val="footer"/>
    <w:basedOn w:val="Normal"/>
    <w:link w:val="FooterChar"/>
    <w:uiPriority w:val="99"/>
    <w:unhideWhenUsed/>
    <w:rsid w:val="009B3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61E"/>
  </w:style>
</w:styles>
</file>

<file path=word/webSettings.xml><?xml version="1.0" encoding="utf-8"?>
<w:webSettings xmlns:r="http://schemas.openxmlformats.org/officeDocument/2006/relationships" xmlns:w="http://schemas.openxmlformats.org/wordprocessingml/2006/main">
  <w:divs>
    <w:div w:id="303586300">
      <w:bodyDiv w:val="1"/>
      <w:marLeft w:val="0"/>
      <w:marRight w:val="0"/>
      <w:marTop w:val="0"/>
      <w:marBottom w:val="0"/>
      <w:divBdr>
        <w:top w:val="none" w:sz="0" w:space="0" w:color="auto"/>
        <w:left w:val="none" w:sz="0" w:space="0" w:color="auto"/>
        <w:bottom w:val="none" w:sz="0" w:space="0" w:color="auto"/>
        <w:right w:val="none" w:sz="0" w:space="0" w:color="auto"/>
      </w:divBdr>
      <w:divsChild>
        <w:div w:id="408624998">
          <w:marLeft w:val="0"/>
          <w:marRight w:val="0"/>
          <w:marTop w:val="0"/>
          <w:marBottom w:val="0"/>
          <w:divBdr>
            <w:top w:val="none" w:sz="0" w:space="0" w:color="auto"/>
            <w:left w:val="none" w:sz="0" w:space="0" w:color="auto"/>
            <w:bottom w:val="none" w:sz="0" w:space="0" w:color="auto"/>
            <w:right w:val="none" w:sz="0" w:space="0" w:color="auto"/>
          </w:divBdr>
        </w:div>
      </w:divsChild>
    </w:div>
    <w:div w:id="413892586">
      <w:bodyDiv w:val="1"/>
      <w:marLeft w:val="0"/>
      <w:marRight w:val="0"/>
      <w:marTop w:val="0"/>
      <w:marBottom w:val="0"/>
      <w:divBdr>
        <w:top w:val="none" w:sz="0" w:space="0" w:color="auto"/>
        <w:left w:val="none" w:sz="0" w:space="0" w:color="auto"/>
        <w:bottom w:val="none" w:sz="0" w:space="0" w:color="auto"/>
        <w:right w:val="none" w:sz="0" w:space="0" w:color="auto"/>
      </w:divBdr>
      <w:divsChild>
        <w:div w:id="1808355578">
          <w:marLeft w:val="0"/>
          <w:marRight w:val="0"/>
          <w:marTop w:val="0"/>
          <w:marBottom w:val="0"/>
          <w:divBdr>
            <w:top w:val="none" w:sz="0" w:space="0" w:color="auto"/>
            <w:left w:val="none" w:sz="0" w:space="0" w:color="auto"/>
            <w:bottom w:val="none" w:sz="0" w:space="0" w:color="auto"/>
            <w:right w:val="none" w:sz="0" w:space="0" w:color="auto"/>
          </w:divBdr>
        </w:div>
      </w:divsChild>
    </w:div>
    <w:div w:id="922179134">
      <w:bodyDiv w:val="1"/>
      <w:marLeft w:val="0"/>
      <w:marRight w:val="0"/>
      <w:marTop w:val="0"/>
      <w:marBottom w:val="0"/>
      <w:divBdr>
        <w:top w:val="none" w:sz="0" w:space="0" w:color="auto"/>
        <w:left w:val="none" w:sz="0" w:space="0" w:color="auto"/>
        <w:bottom w:val="none" w:sz="0" w:space="0" w:color="auto"/>
        <w:right w:val="none" w:sz="0" w:space="0" w:color="auto"/>
      </w:divBdr>
      <w:divsChild>
        <w:div w:id="1494026716">
          <w:marLeft w:val="0"/>
          <w:marRight w:val="0"/>
          <w:marTop w:val="0"/>
          <w:marBottom w:val="0"/>
          <w:divBdr>
            <w:top w:val="none" w:sz="0" w:space="0" w:color="auto"/>
            <w:left w:val="none" w:sz="0" w:space="0" w:color="auto"/>
            <w:bottom w:val="none" w:sz="0" w:space="0" w:color="auto"/>
            <w:right w:val="none" w:sz="0" w:space="0" w:color="auto"/>
          </w:divBdr>
        </w:div>
      </w:divsChild>
    </w:div>
    <w:div w:id="1435781587">
      <w:bodyDiv w:val="1"/>
      <w:marLeft w:val="0"/>
      <w:marRight w:val="0"/>
      <w:marTop w:val="0"/>
      <w:marBottom w:val="0"/>
      <w:divBdr>
        <w:top w:val="none" w:sz="0" w:space="0" w:color="auto"/>
        <w:left w:val="none" w:sz="0" w:space="0" w:color="auto"/>
        <w:bottom w:val="none" w:sz="0" w:space="0" w:color="auto"/>
        <w:right w:val="none" w:sz="0" w:space="0" w:color="auto"/>
      </w:divBdr>
      <w:divsChild>
        <w:div w:id="911245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7</Pages>
  <Words>1472</Words>
  <Characters>8393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cp:lastModifiedBy>
  <cp:revision>2</cp:revision>
  <dcterms:created xsi:type="dcterms:W3CDTF">2019-09-23T19:39:00Z</dcterms:created>
  <dcterms:modified xsi:type="dcterms:W3CDTF">2019-09-23T19:39:00Z</dcterms:modified>
</cp:coreProperties>
</file>