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tabs>
          <w:tab w:val="left" w:pos="7695"/>
        </w:tabs>
        <w:spacing w:after="200" w:line="480" w:lineRule="auto"/>
        <w:rPr>
          <w:rFonts w:ascii="Times New Roman" w:eastAsia="Calibri" w:hAnsi="Times New Roman" w:cs="Times New Roman"/>
          <w:sz w:val="24"/>
          <w:szCs w:val="24"/>
        </w:rPr>
      </w:pPr>
      <w:r w:rsidRPr="006C03D4">
        <w:rPr>
          <w:rFonts w:ascii="Times New Roman" w:eastAsia="Calibri" w:hAnsi="Times New Roman" w:cs="Times New Roman"/>
          <w:sz w:val="24"/>
          <w:szCs w:val="24"/>
        </w:rPr>
        <w:tab/>
      </w: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before="240" w:after="200" w:line="480" w:lineRule="auto"/>
        <w:jc w:val="center"/>
        <w:rPr>
          <w:rFonts w:ascii="Times New Roman" w:eastAsia="Calibri" w:hAnsi="Times New Roman" w:cs="Times New Roman"/>
          <w:sz w:val="24"/>
          <w:szCs w:val="24"/>
        </w:rPr>
      </w:pPr>
      <w:r w:rsidRPr="006C03D4">
        <w:rPr>
          <w:rFonts w:ascii="Times New Roman" w:eastAsia="Calibri" w:hAnsi="Times New Roman" w:cs="Times New Roman"/>
          <w:sz w:val="24"/>
          <w:szCs w:val="24"/>
        </w:rPr>
        <w:t>Giordano</w:t>
      </w:r>
    </w:p>
    <w:p w:rsidR="006C03D4" w:rsidRPr="006C03D4" w:rsidRDefault="006C03D4" w:rsidP="006C03D4">
      <w:pPr>
        <w:spacing w:before="240" w:after="200" w:line="480" w:lineRule="auto"/>
        <w:jc w:val="center"/>
        <w:rPr>
          <w:rFonts w:ascii="Times New Roman" w:eastAsia="Calibri" w:hAnsi="Times New Roman" w:cs="Times New Roman"/>
          <w:sz w:val="24"/>
          <w:szCs w:val="24"/>
        </w:rPr>
      </w:pPr>
      <w:r w:rsidRPr="006C03D4">
        <w:rPr>
          <w:rFonts w:ascii="Times New Roman" w:eastAsia="Calibri" w:hAnsi="Times New Roman" w:cs="Times New Roman"/>
          <w:sz w:val="24"/>
          <w:szCs w:val="24"/>
        </w:rPr>
        <w:t>Student’s Name</w:t>
      </w:r>
    </w:p>
    <w:p w:rsidR="006C03D4" w:rsidRPr="006C03D4" w:rsidRDefault="006C03D4" w:rsidP="006C03D4">
      <w:pPr>
        <w:spacing w:before="240" w:after="200" w:line="480" w:lineRule="auto"/>
        <w:jc w:val="center"/>
        <w:rPr>
          <w:rFonts w:ascii="Times New Roman" w:eastAsia="Calibri" w:hAnsi="Times New Roman" w:cs="Times New Roman"/>
          <w:sz w:val="24"/>
          <w:szCs w:val="24"/>
        </w:rPr>
      </w:pPr>
      <w:r w:rsidRPr="006C03D4">
        <w:rPr>
          <w:rFonts w:ascii="Times New Roman" w:eastAsia="Calibri" w:hAnsi="Times New Roman" w:cs="Times New Roman"/>
          <w:sz w:val="24"/>
          <w:szCs w:val="24"/>
        </w:rPr>
        <w:t xml:space="preserve">Institutional Affiliation </w:t>
      </w: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after="200" w:line="480" w:lineRule="auto"/>
        <w:jc w:val="center"/>
        <w:rPr>
          <w:rFonts w:ascii="Times New Roman" w:eastAsia="Calibri" w:hAnsi="Times New Roman" w:cs="Times New Roman"/>
          <w:sz w:val="24"/>
          <w:szCs w:val="24"/>
        </w:rPr>
      </w:pPr>
    </w:p>
    <w:p w:rsidR="006C03D4" w:rsidRPr="006C03D4" w:rsidRDefault="006C03D4" w:rsidP="006C03D4">
      <w:pPr>
        <w:spacing w:line="480" w:lineRule="auto"/>
        <w:rPr>
          <w:rFonts w:ascii="Times New Roman" w:hAnsi="Times New Roman" w:cs="Times New Roman"/>
          <w:b/>
          <w:sz w:val="24"/>
          <w:szCs w:val="24"/>
        </w:rPr>
      </w:pPr>
      <w:r w:rsidRPr="006C03D4">
        <w:rPr>
          <w:rFonts w:ascii="Times New Roman" w:hAnsi="Times New Roman" w:cs="Times New Roman"/>
          <w:b/>
          <w:sz w:val="24"/>
          <w:szCs w:val="24"/>
        </w:rPr>
        <w:br w:type="page"/>
      </w:r>
    </w:p>
    <w:p w:rsidR="006C03D4" w:rsidRPr="006C03D4" w:rsidRDefault="006C03D4" w:rsidP="006C03D4">
      <w:pPr>
        <w:spacing w:line="480" w:lineRule="auto"/>
        <w:jc w:val="center"/>
        <w:rPr>
          <w:rFonts w:ascii="Times New Roman" w:hAnsi="Times New Roman" w:cs="Times New Roman"/>
          <w:sz w:val="24"/>
          <w:szCs w:val="24"/>
        </w:rPr>
      </w:pPr>
      <w:r w:rsidRPr="006C03D4">
        <w:rPr>
          <w:rFonts w:ascii="Times New Roman" w:hAnsi="Times New Roman" w:cs="Times New Roman"/>
          <w:sz w:val="24"/>
          <w:szCs w:val="24"/>
        </w:rPr>
        <w:lastRenderedPageBreak/>
        <w:t>Giordano</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 xml:space="preserve">Strategic Management &amp; Corporate Responsibility </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Introduction</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Giordano International is an organization that was founded in 1981. It was started in Hong Kong City and has since developed even into the global market. It deals with selling attire and accessories. The company sated as a single store and has since grown into the worldwide market having over 2300 stores worldwide in over thirty countries. Its major brands include “Giordano Junior” for children, “Giordano Ladies” for women among others. </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Mission, Vision and Values</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vision of the company states “To be the best and the biggest world brand in apparel retailing.” The mission of the organization brand states “To Make People Feel Good and Look Great.” Corporate values include Q.K.I.S.S – the initials stand for Quality in their items, Knowledge, Innovation, Services that are superior compared to other competing companies, and Simplicity in their design. </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Organization CSR policies</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Non-discrimination- the company treats its employees well since it believes in teamwork and cooperation for success. Hiring, rewarding and promotions are done based on merit and fairness. Safety and Health- Giordano provides a pleasant working environment for its workers and clients by reducing cases of accidents in workplaces. Environment- the business processes are environmentally friendly and comply with the set standards and regulatory systems. Community Involvement- the company has always worked with the communities impacting </w:t>
      </w:r>
      <w:r w:rsidRPr="006C03D4">
        <w:rPr>
          <w:rFonts w:ascii="Times New Roman" w:hAnsi="Times New Roman" w:cs="Times New Roman"/>
          <w:sz w:val="24"/>
          <w:szCs w:val="24"/>
        </w:rPr>
        <w:lastRenderedPageBreak/>
        <w:t xml:space="preserve">people’s lives in a significant way through volunteer work and charities. Ethical Sourcing- the organization aim has always to engage in transparent businesses and working with only those suppliers who meet the ethical standards.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company has performed well in CSR the recent analysis through its ESG report having met all the ethical set standards and operated within the set regulations and rules. It has also engaged in good deals and was ranked among the best companies by a study done by Harvard school. The CSR policies are adequate for a company with the potential to perform in the market. </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How CSR is likely to Ensure Giordano Achieves realization Based on Perspectives of Various Shareholders</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Giordano international is always committed to follow the CSR policies which have contributed significantly to the company success. The commitment to providing quality services has ensured the successful execution of multiple brands and presence in the many markets in the world. Today, the company holds the position among the top five cloth sellers in the Arab markets. The company is chosen by all ages and nationalities and has global acceptance for its unique brand.</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Additionally, through CSR policies the company has managed to have a system which is customer responsive with clear communication strategies and simplicity in their brand being their major strength in the entire business operations. Giordano’s brand has a philosophy of maintaining simplicity and is stylish. The styles are modern and designed to enhance the beauty in individuals through modern and timeless attires. It ensures that their clients use less for more and also acquire classic designs. Fashion industry requires that the company continuously adapts </w:t>
      </w:r>
      <w:r w:rsidRPr="006C03D4">
        <w:rPr>
          <w:rFonts w:ascii="Times New Roman" w:hAnsi="Times New Roman" w:cs="Times New Roman"/>
          <w:sz w:val="24"/>
          <w:szCs w:val="24"/>
        </w:rPr>
        <w:lastRenderedPageBreak/>
        <w:t xml:space="preserve">to the trends which raise production costs; however, Giordano has managed to develop a flexible approach that assures success to fashion retailing.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store sizes range from 1000- 2000 square feet while in some locations it has managed to open flagship stores that occupy more than 7,500 square feet. The customer reach is the company goal since the management understands that without clients then business objective cannot be achieved. Giordano presence in the Middle East has grown since its inception in 1993 now has over 240 stores totaling n twenty-three countries in the entire region. The company also took an initiative to launch other brands in the area including Giordano Junior to attract various market segments. The brand also has a USP that aims at providing customers with timeless, and quality products, the well-trained customers, also handle the clients with extraordinary services as well as ensuring customer accessibility through setting strategic locations. The company also has a competitive advantage in that it has managed to create emotional ties with the esteemed customers.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Additionally, several initiatives have been taken for the growth of Giordano. Some of them include improved interactions with the clients through reaching out via personal calls, emails and newsletters among others (Jiraporn et al., 2014). The company also gets helpful feedback from clients which ensures that they can improve on significant areas of concern. Use of the online real-time system is also another initiative the company has managed to utilize and link all its businesses on the global platform. The company had the system customized to its needs to ensure that information could be transmitted to facilitate buying, more sales and also make sure that all the other functions ran smoothly. The company also gets the opportunity of making informed decisions on the inventory and requirements (Unity, 2015). The management also gets a boost from the system since it can plan effectively and the implementation process </w:t>
      </w:r>
      <w:r w:rsidRPr="006C03D4">
        <w:rPr>
          <w:rFonts w:ascii="Times New Roman" w:hAnsi="Times New Roman" w:cs="Times New Roman"/>
          <w:sz w:val="24"/>
          <w:szCs w:val="24"/>
        </w:rPr>
        <w:lastRenderedPageBreak/>
        <w:t xml:space="preserve">becomes easy. Through inventory management system, all the retails and international markets are linked and ensures that actions can be taken immediately variances are realized from the company standards which ensures resources are accounted for both in the regional stores and international markets.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The simplicity of the brand satisfies the pleasures of fashion in Giordano products. They concentrate on the relevant, functional as well as essentiality. They assure the customers a good look and improved mood. The development team is always working on innovations that promise the differentiation of products and improved value to the clients. They ensure that they satisfy the demand of the markets and trends all over the world. Marketing of the brand is done at the stores mostly located in big malls, central business districts and other strategic places for accessibility to the buyers. Also, online marketing is done through the company’s website where effective communication with interested parties also happens (Crowther &amp; Seifi, 2018)</w:t>
      </w: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Triple Bottom Line Challenges and Advantages of Moving Manufacturing into Emerging Market</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fashion industry proves to be a good income generating avenue and accounts for about $2 trillion in the total world revenue. However, the industry also faces some challenges since it is ranked as one of leading in natural resource consumption as well as greenhouse gasses emissions. The pollution to the environment possesses significant threats to the environmental degradation which hinders its sustainability. The planet has limited resources that are nonrenewable. The industry utilizes the nonrenewable resources which result in environmental pollution. Also, the industry also poses human rights issues in the production process which includes the clothing and textiles that range from forced to child labor, minimal wages to the workers, unpaid overtime and excess working hours, safety as well as health hazards.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lastRenderedPageBreak/>
        <w:t xml:space="preserve">Also in the past, there have been cases of underrepresentation of workers in the negotiations with the company management. Cases were reported whereby some workers reported not to be involved in the decision making of many companies. Giordano needs to ensure that workers have platforms whereby they can raise essential suggestions which can generate growth for the company. The trend poses severe social as well as economic sustainability challenges that need to be addressed to ensure business success (Jia et al., 2015). Good news is that the industrial activities in the recent past have guaranteed an excellent response to the sustainability challenges which is a top trend to ensuring growth and organizational commitment to sustainable practices. That means that even if there are considerable amounts of social, environmental and economic challenges resulting from the activities in the fashion industry and its supply chain, there is a chance that in the future there could be a paradigm shift in the sustainability and the emphasis on the TBL seems to be gaining its power (Godart &amp; Seong, 2015). The objectives of the collections in the new markets ensure advances in the knowledge related to the ongoing sustainability problems in the global fashion industry supply chain and demand new initiatives and broader perspectives in the sector to ensure growth in sustainability as well as the triple bottom line (Garcia-Torres et al., 2017).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As explained by John Elkington who invented it first in 1994, TBL has three Ps described as Profit, People and finally the Planet. Giordano should ensure it assesses its bottom lines to ensure success and growth in returns (Devika et al., 2014). Profit as many experts would explain is the main reason business operates. It is the bottom line of the economies of the corporation. Socially, Giordano should also measure its performance by looking at the People (Sarkis &amp; Dhavale, 2015). Again the environmental perspective comes in when the mention of Planet bottom line is mentioned. In simple terms, the triple bottom line can be considered to be the </w:t>
      </w:r>
      <w:r w:rsidRPr="006C03D4">
        <w:rPr>
          <w:rFonts w:ascii="Times New Roman" w:hAnsi="Times New Roman" w:cs="Times New Roman"/>
          <w:sz w:val="24"/>
          <w:szCs w:val="24"/>
        </w:rPr>
        <w:lastRenderedPageBreak/>
        <w:t xml:space="preserve">holistic evaluation of Giordano’s financial, environmental and economic goals measurement over time (Anderson et al., 2015). TBL ensures sustainability in major organizations having the vision of promoting more value to the societies they serve. TBL also aims at generating more excellent shareholder value and assures growth (Alhaddi, 2015). It also fosters sustainable livelihoods to the people in the fashion industry supply chains.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supply chain ranges from the production of the raw materials utilized by the company to the disposal of clothing which response quite well to the sustainable problems in the process (Glavas &amp; Mish, 2015). Triple Bottom Line has both advantages and disadvantages when it comes to the company venturing into the new markets and having a global presence. One position of Triple Bottom advantage of moving to manufacture into merging market is that consumers are allowed to enjoy and exercise creativity (Wise, 2016). It is essential for a market to have sustainability within the industry, and this can be improved by focusing on comprehending the behavior aspects of the consumer of the triple bottom line concerning a significant scope of the clothing and textiles industry (Onat et al., 2014). Upon creativity in the organization, consumers can apply different models that are related to product-services to enhance as a means for promoting sustainable apparel practices among consumers who seek to promote sustainable practices (Park &amp; Kim, 2016).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Another advantage is seen in the relationship that occurs through some specific ways of analyzing the habits that consumers adopt different maintainable retail models (Rambaud &amp; Richard, 2015). Some of the methods that are used by consumers to analyze are swapping and renting clothing, clothing alteration and repair, the purchase of redesigned clothing and the sale of unique fashions. As a result, consumers’ activities can increase creativity as well as a positive inﬂuence on implementing those mentioned above maintainable retail methods (Weiss et al., </w:t>
      </w:r>
      <w:r w:rsidRPr="006C03D4">
        <w:rPr>
          <w:rFonts w:ascii="Times New Roman" w:hAnsi="Times New Roman" w:cs="Times New Roman"/>
          <w:sz w:val="24"/>
          <w:szCs w:val="24"/>
        </w:rPr>
        <w:lastRenderedPageBreak/>
        <w:t>2014). Besides, another Triple Bottom advantage of moving to manufacture into the merging market is that it increases product longevity (Ahi &amp; Searcy, 2015). The consumers who support creative choices upon making critical decisions are usually likely to buy distinctive goods and services which are typically restructured from past materials. As a result, a new market strategy which is governed by a retail market is developed. This encourages customers, and at the same time, it improves in critical decision making upon purchasing.</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The occurrence of an essential relationship between consumers and moral norms influences ethical decisions. Ethical decisions also affect the retail of different brands involved in financial responsibility (Wilson, 2015). This relationship is critical since it influences the process of decision making for the case of consumers. Moral, subjective norms, as well as attitudes, are fundamental forecasters as far as the willingness of the consumers towards supporting different brands which are involved in activities that affect the corporate social responsibility are concerned (Li et al, 2015).  For that reason, As such, there is the existence of essential implications that occur concerning the TBL movement in the context of the supply chain. A good example is a positivity which is happened by brand image, as well as different brands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Organizations in the modern world are likely to be governed by competition and retail marketplaces that have been over-saturated in the scope of corporate sustainability responsibilities within the context of platforms that promote marketing (Na et al.,2014).  For the case of fast fashion, it is evident that there was the presence of a high connection between environmental and social dimensions concerning the triple bottom line (TBL) model (Henninger et al., 2015). On the same note, this model is a fundamental tool that can be used to assess the perceptions of consumers as far as sustainability in fashion products is concerned. For the case of professionals on the industry, the TBL model which was established and verified seems to be </w:t>
      </w:r>
      <w:r w:rsidRPr="006C03D4">
        <w:rPr>
          <w:rFonts w:ascii="Times New Roman" w:hAnsi="Times New Roman" w:cs="Times New Roman"/>
          <w:sz w:val="24"/>
          <w:szCs w:val="24"/>
        </w:rPr>
        <w:lastRenderedPageBreak/>
        <w:t>very practical in the assessment of fashion products sustainability for consumers (Winter &amp; Lasch, 2016). However, it is evident that environmental sustainability fails to show and predict brand outcomes for both fashion brands which are fast and sustainable fast fashion brands or sustainable brands meaning that inﬂuential enough (Pal, 2017).</w:t>
      </w:r>
    </w:p>
    <w:p w:rsidR="006C03D4" w:rsidRPr="006C03D4" w:rsidRDefault="006C03D4" w:rsidP="006C03D4">
      <w:pPr>
        <w:spacing w:line="480" w:lineRule="auto"/>
        <w:ind w:firstLine="720"/>
        <w:rPr>
          <w:rFonts w:ascii="Times New Roman" w:hAnsi="Times New Roman" w:cs="Times New Roman"/>
          <w:sz w:val="24"/>
          <w:szCs w:val="24"/>
        </w:rPr>
      </w:pPr>
    </w:p>
    <w:p w:rsidR="006C03D4" w:rsidRPr="006C03D4" w:rsidRDefault="006C03D4" w:rsidP="006C03D4">
      <w:pPr>
        <w:spacing w:line="480" w:lineRule="auto"/>
        <w:jc w:val="center"/>
        <w:rPr>
          <w:rFonts w:ascii="Times New Roman" w:hAnsi="Times New Roman" w:cs="Times New Roman"/>
          <w:b/>
          <w:sz w:val="24"/>
          <w:szCs w:val="24"/>
        </w:rPr>
      </w:pPr>
      <w:r w:rsidRPr="006C03D4">
        <w:rPr>
          <w:rFonts w:ascii="Times New Roman" w:hAnsi="Times New Roman" w:cs="Times New Roman"/>
          <w:b/>
          <w:sz w:val="24"/>
          <w:szCs w:val="24"/>
        </w:rPr>
        <w:t>Decision and Recommendations</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Based on the proposal by the Finance Director in venturing a new market, Giordano international should consider hiring back-office facilities. In any business, the entrepreneurs need to have the right expertise to handle the business for them to achieve success. However, sometimes specific tasks such as accounting and back-office services may prove to be overwhelming to the investor (Chin et al., 2015). These services are essential in helping to keep track of the business performance at any time and generating more revenue. When work becomes a bit overwhelming, it is advisable to consider outsourcing services such as accounting. Outsourcing is beneficial as it is less costly compared to having a permanent team of experts in a wholly owned production. The strategy can ensure increased returns to the shareholders.</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Gordano international should ensure it upholds supplier audits at every level of production. Supplier audits are significant for any company due to some reasons. Examinations encourage suppliers to enhance their work operations continually and give a new drive every time they are done (No &amp; Fasanvej, 2015). Also, it promotes the company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w:t>
      </w:r>
      <w:r w:rsidRPr="006C03D4">
        <w:rPr>
          <w:rFonts w:ascii="Times New Roman" w:hAnsi="Times New Roman" w:cs="Times New Roman"/>
          <w:sz w:val="24"/>
          <w:szCs w:val="24"/>
        </w:rPr>
        <w:lastRenderedPageBreak/>
        <w:t>the business (Helin &amp; Babri, 2015). Supplier audits also add a competitive edge for the companies and consequently giving buyers the best products (Hajmohammad &amp; Vachon, 2016).  It also improves the company’s credibility since it shows that it has the will remain committed to being the best for its customers (Kashmanian &amp; Moore, 2014)</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Auditing has its challenges in both internal and external consultancy. In the external setup, clients come with limited budgets and at the same time have high expectations while in internal audits, there all types of politics that may pose as barriers for the completion of tasks. The lack of communication is a significant obstacle to the job (Andon et al., 2015). Trying to get answers from employees who do not understand the scope of the responsibility is less helpful to the point of hostility. Avoiding this fix would require that the auditor avoids techno-babble as it only leads to more confusion and building a good relationship with the IT staff and security to get resources needed for the audit (Grosvold et al., 2014). Another audit challenge is that it is scope creep costly in terms of money and time consumption. An auditor may occasionally find themselves spend much of their time on tasks out of their range which can make the process expensive for both the organization and auditor. A recommendation for this would be a clear definition of scope and trying to stick to it at all times.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It is the responsibility of Gordano in ensuring ethical conduct to its suppliers. Companies depend on the suppliers for vital resources required in the manufacturing process of their products (Wilhelm et al., 2016). It is the responsibility of the purchasing organization to see to it that the materials they order from the suppliers are inspected for safety and have met the manufacturing standards of their organization. They should ensure the products have sanitary working conditions (Foerstl, 2015). Sometimes the company may decide to purchase some parts of the product from a supplier, but in case of any damages happening from the faulty equipment, </w:t>
      </w:r>
      <w:r w:rsidRPr="006C03D4">
        <w:rPr>
          <w:rFonts w:ascii="Times New Roman" w:hAnsi="Times New Roman" w:cs="Times New Roman"/>
          <w:sz w:val="24"/>
          <w:szCs w:val="24"/>
        </w:rPr>
        <w:lastRenderedPageBreak/>
        <w:t xml:space="preserve">the customer would hold them responsible. One such example would be an instance where HP Company had to publicize a battery recall process when in two cases the batteries were faulty, overheated and resulted in a fire that caused property loss (LeBaron et al., 2017). Although HP purchased the said batteries from their earlier trusted supplier, the customers claimed responsibility for the damages on them since the fault came from their supply chain. Negligence in inspecting the supply chain can cause tainting the brand name if the costs happen from the product (Gonzalez-Padron, 2016). </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Additionally, Giordano should ensure it acts ethically. There are advantages of behaving ethically for every company. First, it helps in building customer loyalty. Any customer would like to feel that they have received fair deals for them to become repeat clients. Advantages of having loyal customers to an organization cannot be underestimated since they bring overall growth and reduce marketing costs. Again, a company having an ethical behavior reputation in the market can result in increased customer base through the attraction of new customers and referrals. Creation of the image of ethical behavior can also result in the retention of talented employees (Gonzalez-Padron, 2016). If the workers feel that career advancement within the company is fair and there is the communication of the progress to all, they are likely to consider being dedicated to accomplishing their goals in such organizations. It also helps in enhancing a positive work environment by encouraging employee honesty and positive relationships in the workplace.</w:t>
      </w:r>
    </w:p>
    <w:p w:rsidR="006C03D4" w:rsidRPr="006C03D4" w:rsidRDefault="006C03D4" w:rsidP="006C03D4">
      <w:pPr>
        <w:spacing w:line="480" w:lineRule="auto"/>
        <w:ind w:firstLine="720"/>
        <w:rPr>
          <w:rFonts w:ascii="Times New Roman" w:hAnsi="Times New Roman" w:cs="Times New Roman"/>
          <w:sz w:val="24"/>
          <w:szCs w:val="24"/>
        </w:rPr>
      </w:pPr>
      <w:r w:rsidRPr="006C03D4">
        <w:rPr>
          <w:rFonts w:ascii="Times New Roman" w:hAnsi="Times New Roman" w:cs="Times New Roman"/>
          <w:sz w:val="24"/>
          <w:szCs w:val="24"/>
        </w:rPr>
        <w:t xml:space="preserve">In summation, Giordano seems to have the potential of even gaining more success in the fashion industry following the current trends. Improvement of few areas in supplier audits and sustainability can amount to great success. There are several ways however of a company to ensure it minimizes the supplier risks. Implementation of case management solutions is critical </w:t>
      </w:r>
      <w:r w:rsidRPr="006C03D4">
        <w:rPr>
          <w:rFonts w:ascii="Times New Roman" w:hAnsi="Times New Roman" w:cs="Times New Roman"/>
          <w:sz w:val="24"/>
          <w:szCs w:val="24"/>
        </w:rPr>
        <w:lastRenderedPageBreak/>
        <w:t>since it improves communication in the supply chain. It makes it easier for the filing of cases such as defective equipment shipments among other risks.  Ethical behavior is also critical in ensuring customer trust and success. The company should ensure the workers are ethical and operates within the standards as well as the rules of the business.</w:t>
      </w:r>
    </w:p>
    <w:p w:rsidR="006C03D4" w:rsidRPr="006C03D4" w:rsidRDefault="006C03D4" w:rsidP="006C03D4">
      <w:pPr>
        <w:spacing w:line="480" w:lineRule="auto"/>
        <w:rPr>
          <w:rFonts w:ascii="Times New Roman" w:hAnsi="Times New Roman" w:cs="Times New Roman"/>
          <w:sz w:val="24"/>
          <w:szCs w:val="24"/>
        </w:rPr>
      </w:pPr>
      <w:r w:rsidRPr="006C03D4">
        <w:rPr>
          <w:rFonts w:ascii="Times New Roman" w:hAnsi="Times New Roman" w:cs="Times New Roman"/>
          <w:sz w:val="24"/>
          <w:szCs w:val="24"/>
        </w:rPr>
        <w:br w:type="page"/>
      </w:r>
      <w:bookmarkStart w:id="0" w:name="_GoBack"/>
      <w:bookmarkEnd w:id="0"/>
    </w:p>
    <w:p w:rsidR="006C03D4" w:rsidRPr="006C03D4" w:rsidRDefault="006C03D4" w:rsidP="006C03D4">
      <w:pPr>
        <w:spacing w:line="480" w:lineRule="auto"/>
        <w:jc w:val="center"/>
        <w:rPr>
          <w:rFonts w:ascii="Times New Roman" w:hAnsi="Times New Roman" w:cs="Times New Roman"/>
          <w:sz w:val="24"/>
          <w:szCs w:val="24"/>
        </w:rPr>
      </w:pPr>
      <w:r w:rsidRPr="006C03D4">
        <w:rPr>
          <w:rFonts w:ascii="Times New Roman" w:hAnsi="Times New Roman" w:cs="Times New Roman"/>
          <w:sz w:val="24"/>
          <w:szCs w:val="24"/>
        </w:rPr>
        <w:lastRenderedPageBreak/>
        <w:t>References</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Ahi, P., &amp; Searcy, C. (2015). Assessing sustainability in the supply chain: A triple bottom line approach. </w:t>
      </w:r>
      <w:r w:rsidRPr="006C03D4">
        <w:rPr>
          <w:rFonts w:ascii="Times New Roman" w:hAnsi="Times New Roman" w:cs="Times New Roman"/>
          <w:i/>
          <w:iCs/>
          <w:color w:val="222222"/>
          <w:sz w:val="24"/>
          <w:szCs w:val="24"/>
          <w:shd w:val="clear" w:color="auto" w:fill="FFFFFF"/>
        </w:rPr>
        <w:t>Applied Mathematical Modelling</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39</w:t>
      </w:r>
      <w:r w:rsidRPr="006C03D4">
        <w:rPr>
          <w:rFonts w:ascii="Times New Roman" w:hAnsi="Times New Roman" w:cs="Times New Roman"/>
          <w:color w:val="222222"/>
          <w:sz w:val="24"/>
          <w:szCs w:val="24"/>
          <w:shd w:val="clear" w:color="auto" w:fill="FFFFFF"/>
        </w:rPr>
        <w:t>(10-11), 2882-2896.</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Alhaddi, H. (2015). Triple bottom line and sustainability: A literature review. </w:t>
      </w:r>
      <w:r w:rsidRPr="006C03D4">
        <w:rPr>
          <w:rFonts w:ascii="Times New Roman" w:hAnsi="Times New Roman" w:cs="Times New Roman"/>
          <w:i/>
          <w:iCs/>
          <w:color w:val="222222"/>
          <w:sz w:val="24"/>
          <w:szCs w:val="24"/>
          <w:shd w:val="clear" w:color="auto" w:fill="FFFFFF"/>
        </w:rPr>
        <w:t>Business and Management Studies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w:t>
      </w:r>
      <w:r w:rsidRPr="006C03D4">
        <w:rPr>
          <w:rFonts w:ascii="Times New Roman" w:hAnsi="Times New Roman" w:cs="Times New Roman"/>
          <w:color w:val="222222"/>
          <w:sz w:val="24"/>
          <w:szCs w:val="24"/>
          <w:shd w:val="clear" w:color="auto" w:fill="FFFFFF"/>
        </w:rPr>
        <w:t>(2), 6-10.</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Anderson, J. L., Anderson, C. M., Chu, J., Meredith, J., Asche, F., Sylvia, G., ... &amp; McCluney, J. K. (2015). The fishery performance indicators: A management tool for triple bottom line outcomes. </w:t>
      </w:r>
      <w:r w:rsidRPr="006C03D4">
        <w:rPr>
          <w:rFonts w:ascii="Times New Roman" w:hAnsi="Times New Roman" w:cs="Times New Roman"/>
          <w:i/>
          <w:iCs/>
          <w:color w:val="222222"/>
          <w:sz w:val="24"/>
          <w:szCs w:val="24"/>
          <w:shd w:val="clear" w:color="auto" w:fill="FFFFFF"/>
        </w:rPr>
        <w:t>PLoS One</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10</w:t>
      </w:r>
      <w:r w:rsidRPr="006C03D4">
        <w:rPr>
          <w:rFonts w:ascii="Times New Roman" w:hAnsi="Times New Roman" w:cs="Times New Roman"/>
          <w:color w:val="222222"/>
          <w:sz w:val="24"/>
          <w:szCs w:val="24"/>
          <w:shd w:val="clear" w:color="auto" w:fill="FFFFFF"/>
        </w:rPr>
        <w:t>(5), e0122809.</w:t>
      </w:r>
    </w:p>
    <w:p w:rsidR="006C03D4" w:rsidRPr="006C03D4" w:rsidRDefault="006C03D4" w:rsidP="006C03D4">
      <w:pPr>
        <w:spacing w:line="480" w:lineRule="auto"/>
        <w:ind w:left="720" w:hanging="720"/>
        <w:rPr>
          <w:rFonts w:ascii="Times New Roman" w:hAnsi="Times New Roman" w:cs="Times New Roman"/>
          <w:sz w:val="24"/>
          <w:szCs w:val="24"/>
        </w:rPr>
      </w:pPr>
      <w:r w:rsidRPr="006C03D4">
        <w:rPr>
          <w:rFonts w:ascii="Times New Roman" w:hAnsi="Times New Roman" w:cs="Times New Roman"/>
          <w:color w:val="222222"/>
          <w:sz w:val="24"/>
          <w:szCs w:val="24"/>
          <w:shd w:val="clear" w:color="auto" w:fill="FFFFFF"/>
        </w:rPr>
        <w:t>Andon, P., Free, C., &amp; O'Dwyer, B. (2015). Annexing new audit spaces: challenges and adaptations. </w:t>
      </w:r>
      <w:r w:rsidRPr="006C03D4">
        <w:rPr>
          <w:rFonts w:ascii="Times New Roman" w:hAnsi="Times New Roman" w:cs="Times New Roman"/>
          <w:i/>
          <w:iCs/>
          <w:color w:val="222222"/>
          <w:sz w:val="24"/>
          <w:szCs w:val="24"/>
          <w:shd w:val="clear" w:color="auto" w:fill="FFFFFF"/>
        </w:rPr>
        <w:t>Accounting, Auditing &amp; Accountability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28</w:t>
      </w:r>
      <w:r w:rsidRPr="006C03D4">
        <w:rPr>
          <w:rFonts w:ascii="Times New Roman" w:hAnsi="Times New Roman" w:cs="Times New Roman"/>
          <w:color w:val="222222"/>
          <w:sz w:val="24"/>
          <w:szCs w:val="24"/>
          <w:shd w:val="clear" w:color="auto" w:fill="FFFFFF"/>
        </w:rPr>
        <w:t>(8), 1400-1430.</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Boulouta, I., &amp; Pitelis, C. N. (2014). Who needs CSR? The impact of corporate social responsibility on national competitiveness. </w:t>
      </w:r>
      <w:r w:rsidRPr="006C03D4">
        <w:rPr>
          <w:rFonts w:ascii="Times New Roman" w:hAnsi="Times New Roman" w:cs="Times New Roman"/>
          <w:i/>
          <w:iCs/>
          <w:color w:val="222222"/>
          <w:sz w:val="24"/>
          <w:szCs w:val="24"/>
          <w:shd w:val="clear" w:color="auto" w:fill="FFFFFF"/>
        </w:rPr>
        <w:t>Journal of business ethics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119</w:t>
      </w:r>
      <w:r w:rsidRPr="006C03D4">
        <w:rPr>
          <w:rFonts w:ascii="Times New Roman" w:hAnsi="Times New Roman" w:cs="Times New Roman"/>
          <w:color w:val="222222"/>
          <w:sz w:val="24"/>
          <w:szCs w:val="24"/>
          <w:shd w:val="clear" w:color="auto" w:fill="FFFFFF"/>
        </w:rPr>
        <w:t>(3), 349-364.</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Casey, R. J., &amp; Grenier, J. H. (2014). Understanding and contributing to the enigma of corporate social responsibility (CSR) assurance in the United States. </w:t>
      </w:r>
      <w:r w:rsidRPr="006C03D4">
        <w:rPr>
          <w:rFonts w:ascii="Times New Roman" w:hAnsi="Times New Roman" w:cs="Times New Roman"/>
          <w:i/>
          <w:iCs/>
          <w:color w:val="222222"/>
          <w:sz w:val="24"/>
          <w:szCs w:val="24"/>
          <w:shd w:val="clear" w:color="auto" w:fill="FFFFFF"/>
        </w:rPr>
        <w:t>Auditing: A Journal of Practice &amp; Theory</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34</w:t>
      </w:r>
      <w:r w:rsidRPr="006C03D4">
        <w:rPr>
          <w:rFonts w:ascii="Times New Roman" w:hAnsi="Times New Roman" w:cs="Times New Roman"/>
          <w:color w:val="222222"/>
          <w:sz w:val="24"/>
          <w:szCs w:val="24"/>
          <w:shd w:val="clear" w:color="auto" w:fill="FFFFFF"/>
        </w:rPr>
        <w:t>(1), 97-130.</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Chandler, D., &amp; Werther, W. B. (2014). </w:t>
      </w:r>
      <w:r w:rsidRPr="006C03D4">
        <w:rPr>
          <w:rFonts w:ascii="Times New Roman" w:hAnsi="Times New Roman" w:cs="Times New Roman"/>
          <w:i/>
          <w:iCs/>
          <w:color w:val="222222"/>
          <w:sz w:val="24"/>
          <w:szCs w:val="24"/>
          <w:shd w:val="clear" w:color="auto" w:fill="FFFFFF"/>
        </w:rPr>
        <w:t>Strategic corporate social responsibility: Stakeholders, globalization, and sustainable value creation</w:t>
      </w:r>
      <w:r w:rsidRPr="006C03D4">
        <w:rPr>
          <w:rFonts w:ascii="Times New Roman" w:hAnsi="Times New Roman" w:cs="Times New Roman"/>
          <w:color w:val="222222"/>
          <w:sz w:val="24"/>
          <w:szCs w:val="24"/>
          <w:shd w:val="clear" w:color="auto" w:fill="FFFFFF"/>
        </w:rPr>
        <w:t>. Thousand Oaks, California: Sage.</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Cheng, B., Ioannou, I., &amp; Serafeim, G. (2014). Corporate social responsibility and access to finance. </w:t>
      </w:r>
      <w:r w:rsidRPr="006C03D4">
        <w:rPr>
          <w:rFonts w:ascii="Times New Roman" w:hAnsi="Times New Roman" w:cs="Times New Roman"/>
          <w:i/>
          <w:iCs/>
          <w:color w:val="222222"/>
          <w:sz w:val="24"/>
          <w:szCs w:val="24"/>
          <w:shd w:val="clear" w:color="auto" w:fill="FFFFFF"/>
        </w:rPr>
        <w:t>Strategic management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35</w:t>
      </w:r>
      <w:r w:rsidRPr="006C03D4">
        <w:rPr>
          <w:rFonts w:ascii="Times New Roman" w:hAnsi="Times New Roman" w:cs="Times New Roman"/>
          <w:color w:val="222222"/>
          <w:sz w:val="24"/>
          <w:szCs w:val="24"/>
          <w:shd w:val="clear" w:color="auto" w:fill="FFFFFF"/>
        </w:rPr>
        <w:t>(1), 1-23.</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lastRenderedPageBreak/>
        <w:t>Chin, T. A., Tat, H. H., Sulaiman, Z., Zainon, M., &amp; Liana, S. N. (2015). Green supply chain management practices and sustainability performance. </w:t>
      </w:r>
      <w:r w:rsidRPr="006C03D4">
        <w:rPr>
          <w:rFonts w:ascii="Times New Roman" w:hAnsi="Times New Roman" w:cs="Times New Roman"/>
          <w:i/>
          <w:iCs/>
          <w:color w:val="222222"/>
          <w:sz w:val="24"/>
          <w:szCs w:val="24"/>
          <w:shd w:val="clear" w:color="auto" w:fill="FFFFFF"/>
        </w:rPr>
        <w:t>Advanced Science Letters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21</w:t>
      </w:r>
      <w:r w:rsidRPr="006C03D4">
        <w:rPr>
          <w:rFonts w:ascii="Times New Roman" w:hAnsi="Times New Roman" w:cs="Times New Roman"/>
          <w:color w:val="222222"/>
          <w:sz w:val="24"/>
          <w:szCs w:val="24"/>
          <w:shd w:val="clear" w:color="auto" w:fill="FFFFFF"/>
        </w:rPr>
        <w:t>(5), 1359-1362.</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Crowther, D., &amp; Seifi, S. (Eds.). (2018). </w:t>
      </w:r>
      <w:r w:rsidRPr="006C03D4">
        <w:rPr>
          <w:rFonts w:ascii="Times New Roman" w:hAnsi="Times New Roman" w:cs="Times New Roman"/>
          <w:i/>
          <w:iCs/>
          <w:color w:val="222222"/>
          <w:sz w:val="24"/>
          <w:szCs w:val="24"/>
          <w:shd w:val="clear" w:color="auto" w:fill="FFFFFF"/>
        </w:rPr>
        <w:t>Redefining Corporate Social Responsibility</w:t>
      </w:r>
      <w:r w:rsidRPr="006C03D4">
        <w:rPr>
          <w:rFonts w:ascii="Times New Roman" w:hAnsi="Times New Roman" w:cs="Times New Roman"/>
          <w:color w:val="222222"/>
          <w:sz w:val="24"/>
          <w:szCs w:val="24"/>
          <w:shd w:val="clear" w:color="auto" w:fill="FFFFFF"/>
        </w:rPr>
        <w:t>. Emerald Group Publishing.</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Den Hond, F., Rehbein, K. A., de Bakker, F. G., &amp; Lankveld, H. K. V. (2014). Playing on two chessboards: Reputation effects between corporate social responsibility (CSR) and corporate political activity (CPA). </w:t>
      </w:r>
      <w:r w:rsidRPr="006C03D4">
        <w:rPr>
          <w:rFonts w:ascii="Times New Roman" w:hAnsi="Times New Roman" w:cs="Times New Roman"/>
          <w:i/>
          <w:iCs/>
          <w:color w:val="222222"/>
          <w:sz w:val="24"/>
          <w:szCs w:val="24"/>
          <w:shd w:val="clear" w:color="auto" w:fill="FFFFFF"/>
        </w:rPr>
        <w:t>Journal of Management Studies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51</w:t>
      </w:r>
      <w:r w:rsidRPr="006C03D4">
        <w:rPr>
          <w:rFonts w:ascii="Times New Roman" w:hAnsi="Times New Roman" w:cs="Times New Roman"/>
          <w:color w:val="222222"/>
          <w:sz w:val="24"/>
          <w:szCs w:val="24"/>
          <w:shd w:val="clear" w:color="auto" w:fill="FFFFFF"/>
        </w:rPr>
        <w:t>(5), 790-813.</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Devika, K., Jafarian, A., &amp; Nourbakhsh, V. (2014). Designing a sustainable closed-loop supply chain network based on triple bottom line approach: A comparison of metaheuristics hybridization techniques. </w:t>
      </w:r>
      <w:r w:rsidRPr="006C03D4">
        <w:rPr>
          <w:rFonts w:ascii="Times New Roman" w:hAnsi="Times New Roman" w:cs="Times New Roman"/>
          <w:i/>
          <w:iCs/>
          <w:color w:val="222222"/>
          <w:sz w:val="24"/>
          <w:szCs w:val="24"/>
          <w:shd w:val="clear" w:color="auto" w:fill="FFFFFF"/>
        </w:rPr>
        <w:t>European Journal of Operational Research</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235</w:t>
      </w:r>
      <w:r w:rsidRPr="006C03D4">
        <w:rPr>
          <w:rFonts w:ascii="Times New Roman" w:hAnsi="Times New Roman" w:cs="Times New Roman"/>
          <w:color w:val="222222"/>
          <w:sz w:val="24"/>
          <w:szCs w:val="24"/>
          <w:shd w:val="clear" w:color="auto" w:fill="FFFFFF"/>
        </w:rPr>
        <w:t>(3), 594-615.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Foerstl, K., Azadegan, A., Leppelt, T., &amp; Hartmann, E. (2015). Drivers of supplier sustainability: Moving beyond compliance to commitment. </w:t>
      </w:r>
      <w:r w:rsidRPr="006C03D4">
        <w:rPr>
          <w:rFonts w:ascii="Times New Roman" w:hAnsi="Times New Roman" w:cs="Times New Roman"/>
          <w:i/>
          <w:iCs/>
          <w:color w:val="222222"/>
          <w:sz w:val="24"/>
          <w:szCs w:val="24"/>
          <w:shd w:val="clear" w:color="auto" w:fill="FFFFFF"/>
        </w:rPr>
        <w:t>Journal of Supply Chain Management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51</w:t>
      </w:r>
      <w:r w:rsidRPr="006C03D4">
        <w:rPr>
          <w:rFonts w:ascii="Times New Roman" w:hAnsi="Times New Roman" w:cs="Times New Roman"/>
          <w:color w:val="222222"/>
          <w:sz w:val="24"/>
          <w:szCs w:val="24"/>
          <w:shd w:val="clear" w:color="auto" w:fill="FFFFFF"/>
        </w:rPr>
        <w:t>(1), 67-92.</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Garcia-Torres, S., Rey-Garcia, M., &amp; Albareda-Vivo, L. (2017). Effective Disclosure in the Fast-Fashion Industry: from Sustainability Reporting to Action. </w:t>
      </w:r>
      <w:r w:rsidRPr="006C03D4">
        <w:rPr>
          <w:rFonts w:ascii="Times New Roman" w:hAnsi="Times New Roman" w:cs="Times New Roman"/>
          <w:i/>
          <w:iCs/>
          <w:color w:val="222222"/>
          <w:sz w:val="24"/>
          <w:szCs w:val="24"/>
          <w:shd w:val="clear" w:color="auto" w:fill="FFFFFF"/>
        </w:rPr>
        <w:t>Sustainability</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9</w:t>
      </w:r>
      <w:r w:rsidRPr="006C03D4">
        <w:rPr>
          <w:rFonts w:ascii="Times New Roman" w:hAnsi="Times New Roman" w:cs="Times New Roman"/>
          <w:color w:val="222222"/>
          <w:sz w:val="24"/>
          <w:szCs w:val="24"/>
          <w:shd w:val="clear" w:color="auto" w:fill="FFFFFF"/>
        </w:rPr>
        <w:t>(12), 2256.</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Glavas, A., &amp; Mish, J. (2015). Resources and capabilities of triple bottom line firms: going over old or breaking new ground?. </w:t>
      </w:r>
      <w:r w:rsidRPr="006C03D4">
        <w:rPr>
          <w:rFonts w:ascii="Times New Roman" w:hAnsi="Times New Roman" w:cs="Times New Roman"/>
          <w:i/>
          <w:iCs/>
          <w:color w:val="222222"/>
          <w:sz w:val="24"/>
          <w:szCs w:val="24"/>
          <w:shd w:val="clear" w:color="auto" w:fill="FFFFFF"/>
        </w:rPr>
        <w:t>Journal of Business Ethics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127</w:t>
      </w:r>
      <w:r w:rsidRPr="006C03D4">
        <w:rPr>
          <w:rFonts w:ascii="Times New Roman" w:hAnsi="Times New Roman" w:cs="Times New Roman"/>
          <w:color w:val="222222"/>
          <w:sz w:val="24"/>
          <w:szCs w:val="24"/>
          <w:shd w:val="clear" w:color="auto" w:fill="FFFFFF"/>
        </w:rPr>
        <w:t>(3), 623-642.</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Godart, F., &amp; Seong, S. (2014). Is sustainable luxury fashion possible. </w:t>
      </w:r>
      <w:r w:rsidRPr="006C03D4">
        <w:rPr>
          <w:rFonts w:ascii="Times New Roman" w:hAnsi="Times New Roman" w:cs="Times New Roman"/>
          <w:i/>
          <w:iCs/>
          <w:color w:val="222222"/>
          <w:sz w:val="24"/>
          <w:szCs w:val="24"/>
          <w:shd w:val="clear" w:color="auto" w:fill="FFFFFF"/>
        </w:rPr>
        <w:t>Sustainable luxury: managing social and environmental performance in iconic brands. Greenleaf Publishing, Sheffield, UK</w:t>
      </w:r>
      <w:r w:rsidRPr="006C03D4">
        <w:rPr>
          <w:rFonts w:ascii="Times New Roman" w:hAnsi="Times New Roman" w:cs="Times New Roman"/>
          <w:color w:val="222222"/>
          <w:sz w:val="24"/>
          <w:szCs w:val="24"/>
          <w:shd w:val="clear" w:color="auto" w:fill="FFFFFF"/>
        </w:rPr>
        <w:t>.</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lastRenderedPageBreak/>
        <w:t>Gonzalez-Padron, T. L. (2016). Ethics in the supply chain: Follow-up processes to audit results. </w:t>
      </w:r>
      <w:r w:rsidRPr="006C03D4">
        <w:rPr>
          <w:rFonts w:ascii="Times New Roman" w:hAnsi="Times New Roman" w:cs="Times New Roman"/>
          <w:i/>
          <w:iCs/>
          <w:color w:val="222222"/>
          <w:sz w:val="24"/>
          <w:szCs w:val="24"/>
          <w:shd w:val="clear" w:color="auto" w:fill="FFFFFF"/>
        </w:rPr>
        <w:t>Journal of Marketing Channels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23</w:t>
      </w:r>
      <w:r w:rsidRPr="006C03D4">
        <w:rPr>
          <w:rFonts w:ascii="Times New Roman" w:hAnsi="Times New Roman" w:cs="Times New Roman"/>
          <w:color w:val="222222"/>
          <w:sz w:val="24"/>
          <w:szCs w:val="24"/>
          <w:shd w:val="clear" w:color="auto" w:fill="FFFFFF"/>
        </w:rPr>
        <w:t>(1-2), 22-33.</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Grayson, D., &amp; Hodges, A. (2017). </w:t>
      </w:r>
      <w:r w:rsidRPr="006C03D4">
        <w:rPr>
          <w:rFonts w:ascii="Times New Roman" w:hAnsi="Times New Roman" w:cs="Times New Roman"/>
          <w:i/>
          <w:iCs/>
          <w:color w:val="222222"/>
          <w:sz w:val="24"/>
          <w:szCs w:val="24"/>
          <w:shd w:val="clear" w:color="auto" w:fill="FFFFFF"/>
        </w:rPr>
        <w:t>Corporate social opportunity!: Seven steps to make corporate social responsibility work for your business</w:t>
      </w:r>
      <w:r w:rsidRPr="006C03D4">
        <w:rPr>
          <w:rFonts w:ascii="Times New Roman" w:hAnsi="Times New Roman" w:cs="Times New Roman"/>
          <w:color w:val="222222"/>
          <w:sz w:val="24"/>
          <w:szCs w:val="24"/>
          <w:shd w:val="clear" w:color="auto" w:fill="FFFFFF"/>
        </w:rPr>
        <w:t>. Routledge.</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Grosvold, J., U. Hoejmose, S., &amp; K. Roehrich, J. (2014). Squaring the circle: Management, measurement and performance of sustainability in supply chains. </w:t>
      </w:r>
      <w:r w:rsidRPr="006C03D4">
        <w:rPr>
          <w:rFonts w:ascii="Times New Roman" w:hAnsi="Times New Roman" w:cs="Times New Roman"/>
          <w:i/>
          <w:iCs/>
          <w:color w:val="222222"/>
          <w:sz w:val="24"/>
          <w:szCs w:val="24"/>
          <w:shd w:val="clear" w:color="auto" w:fill="FFFFFF"/>
        </w:rPr>
        <w:t>Supply Chain Management: An International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19</w:t>
      </w:r>
      <w:r w:rsidRPr="006C03D4">
        <w:rPr>
          <w:rFonts w:ascii="Times New Roman" w:hAnsi="Times New Roman" w:cs="Times New Roman"/>
          <w:color w:val="222222"/>
          <w:sz w:val="24"/>
          <w:szCs w:val="24"/>
          <w:shd w:val="clear" w:color="auto" w:fill="FFFFFF"/>
        </w:rPr>
        <w:t>(3), 292-305.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Hajmohammad, S., &amp; Vachon, S. (2016). Mitigation, avoidance, or acceptance? Managing supplier sustainability risk. </w:t>
      </w:r>
      <w:r w:rsidRPr="006C03D4">
        <w:rPr>
          <w:rFonts w:ascii="Times New Roman" w:hAnsi="Times New Roman" w:cs="Times New Roman"/>
          <w:i/>
          <w:iCs/>
          <w:color w:val="222222"/>
          <w:sz w:val="24"/>
          <w:szCs w:val="24"/>
          <w:shd w:val="clear" w:color="auto" w:fill="FFFFFF"/>
        </w:rPr>
        <w:t>Journal of Supply Chain Management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52</w:t>
      </w:r>
      <w:r w:rsidRPr="006C03D4">
        <w:rPr>
          <w:rFonts w:ascii="Times New Roman" w:hAnsi="Times New Roman" w:cs="Times New Roman"/>
          <w:color w:val="222222"/>
          <w:sz w:val="24"/>
          <w:szCs w:val="24"/>
          <w:shd w:val="clear" w:color="auto" w:fill="FFFFFF"/>
        </w:rPr>
        <w:t>(2), 48-65.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Helin, S., &amp; Babri, M. (2015). Travelling with a code of ethics: a contextual study of a Swedish MNC auditing a Chinese supplier. </w:t>
      </w:r>
      <w:r w:rsidRPr="006C03D4">
        <w:rPr>
          <w:rFonts w:ascii="Times New Roman" w:hAnsi="Times New Roman" w:cs="Times New Roman"/>
          <w:i/>
          <w:iCs/>
          <w:color w:val="222222"/>
          <w:sz w:val="24"/>
          <w:szCs w:val="24"/>
          <w:shd w:val="clear" w:color="auto" w:fill="FFFFFF"/>
        </w:rPr>
        <w:t>Journal of Cleaner Production</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107</w:t>
      </w:r>
      <w:r w:rsidRPr="006C03D4">
        <w:rPr>
          <w:rFonts w:ascii="Times New Roman" w:hAnsi="Times New Roman" w:cs="Times New Roman"/>
          <w:color w:val="222222"/>
          <w:sz w:val="24"/>
          <w:szCs w:val="24"/>
          <w:shd w:val="clear" w:color="auto" w:fill="FFFFFF"/>
        </w:rPr>
        <w:t>, 41-53.</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Henninger, C. E., Alevizou, P. J., Oates, C. J., &amp; Cheng, R. (2015). Sustainable supply chain management in the slow-fashion industry. In </w:t>
      </w:r>
      <w:r w:rsidRPr="006C03D4">
        <w:rPr>
          <w:rFonts w:ascii="Times New Roman" w:hAnsi="Times New Roman" w:cs="Times New Roman"/>
          <w:i/>
          <w:iCs/>
          <w:color w:val="222222"/>
          <w:sz w:val="24"/>
          <w:szCs w:val="24"/>
          <w:shd w:val="clear" w:color="auto" w:fill="FFFFFF"/>
        </w:rPr>
        <w:t>Sustainable Fashion Supply Chain Management</w:t>
      </w:r>
      <w:r w:rsidRPr="006C03D4">
        <w:rPr>
          <w:rFonts w:ascii="Times New Roman" w:hAnsi="Times New Roman" w:cs="Times New Roman"/>
          <w:color w:val="222222"/>
          <w:sz w:val="24"/>
          <w:szCs w:val="24"/>
          <w:shd w:val="clear" w:color="auto" w:fill="FFFFFF"/>
        </w:rPr>
        <w:t> (pp. 129-153). Springer, Cham.</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Jia, P., Govindan, K., Choi, T. M., &amp; Rajendran, S. (2015). Supplier selection problems in fashion business operations with sustainability considerations. </w:t>
      </w:r>
      <w:r w:rsidRPr="006C03D4">
        <w:rPr>
          <w:rFonts w:ascii="Times New Roman" w:hAnsi="Times New Roman" w:cs="Times New Roman"/>
          <w:i/>
          <w:iCs/>
          <w:color w:val="222222"/>
          <w:sz w:val="24"/>
          <w:szCs w:val="24"/>
          <w:shd w:val="clear" w:color="auto" w:fill="FFFFFF"/>
        </w:rPr>
        <w:t>Sustainability</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7</w:t>
      </w:r>
      <w:r w:rsidRPr="006C03D4">
        <w:rPr>
          <w:rFonts w:ascii="Times New Roman" w:hAnsi="Times New Roman" w:cs="Times New Roman"/>
          <w:color w:val="222222"/>
          <w:sz w:val="24"/>
          <w:szCs w:val="24"/>
          <w:shd w:val="clear" w:color="auto" w:fill="FFFFFF"/>
        </w:rPr>
        <w:t>(2), 1603-1619.</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Jiraporn, P., Jiraporn, N., Boeprasert, A., &amp; Chang, K. (2014). Does corporate social responsibility (CSR) improve credit ratings? Evidence from geographic identification. </w:t>
      </w:r>
      <w:r w:rsidRPr="006C03D4">
        <w:rPr>
          <w:rFonts w:ascii="Times New Roman" w:hAnsi="Times New Roman" w:cs="Times New Roman"/>
          <w:i/>
          <w:iCs/>
          <w:color w:val="222222"/>
          <w:sz w:val="24"/>
          <w:szCs w:val="24"/>
          <w:shd w:val="clear" w:color="auto" w:fill="FFFFFF"/>
        </w:rPr>
        <w:t>Financial Management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43</w:t>
      </w:r>
      <w:r w:rsidRPr="006C03D4">
        <w:rPr>
          <w:rFonts w:ascii="Times New Roman" w:hAnsi="Times New Roman" w:cs="Times New Roman"/>
          <w:color w:val="222222"/>
          <w:sz w:val="24"/>
          <w:szCs w:val="24"/>
          <w:shd w:val="clear" w:color="auto" w:fill="FFFFFF"/>
        </w:rPr>
        <w:t>(3), 505-531.</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lastRenderedPageBreak/>
        <w:t>Kashmanian, R. M., &amp; Moore, J. R. (2014). Building greater sustainability in supply chains. </w:t>
      </w:r>
      <w:r w:rsidRPr="006C03D4">
        <w:rPr>
          <w:rFonts w:ascii="Times New Roman" w:hAnsi="Times New Roman" w:cs="Times New Roman"/>
          <w:i/>
          <w:iCs/>
          <w:color w:val="222222"/>
          <w:sz w:val="24"/>
          <w:szCs w:val="24"/>
          <w:shd w:val="clear" w:color="auto" w:fill="FFFFFF"/>
        </w:rPr>
        <w:t>Environ Qual Manage</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23</w:t>
      </w:r>
      <w:r w:rsidRPr="006C03D4">
        <w:rPr>
          <w:rFonts w:ascii="Times New Roman" w:hAnsi="Times New Roman" w:cs="Times New Roman"/>
          <w:color w:val="222222"/>
          <w:sz w:val="24"/>
          <w:szCs w:val="24"/>
          <w:shd w:val="clear" w:color="auto" w:fill="FFFFFF"/>
        </w:rPr>
        <w:t>(4), 13-37.</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LeBaron, G., Lister, J., &amp; Dauvergne, P. (2017). Governing global supply chain sustainability through the ethical audit regime. </w:t>
      </w:r>
      <w:r w:rsidRPr="006C03D4">
        <w:rPr>
          <w:rFonts w:ascii="Times New Roman" w:hAnsi="Times New Roman" w:cs="Times New Roman"/>
          <w:i/>
          <w:iCs/>
          <w:color w:val="222222"/>
          <w:sz w:val="24"/>
          <w:szCs w:val="24"/>
          <w:shd w:val="clear" w:color="auto" w:fill="FFFFFF"/>
        </w:rPr>
        <w:t>Globalizations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14</w:t>
      </w:r>
      <w:r w:rsidRPr="006C03D4">
        <w:rPr>
          <w:rFonts w:ascii="Times New Roman" w:hAnsi="Times New Roman" w:cs="Times New Roman"/>
          <w:color w:val="222222"/>
          <w:sz w:val="24"/>
          <w:szCs w:val="24"/>
          <w:shd w:val="clear" w:color="auto" w:fill="FFFFFF"/>
        </w:rPr>
        <w:t>(6), 958-975.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Li, Y., Zhao, X., Shi, D., &amp; Li, X. (2014). Governance of sustainable supply chains in the fast fashion industry. </w:t>
      </w:r>
      <w:r w:rsidRPr="006C03D4">
        <w:rPr>
          <w:rFonts w:ascii="Times New Roman" w:hAnsi="Times New Roman" w:cs="Times New Roman"/>
          <w:i/>
          <w:iCs/>
          <w:color w:val="222222"/>
          <w:sz w:val="24"/>
          <w:szCs w:val="24"/>
          <w:shd w:val="clear" w:color="auto" w:fill="FFFFFF"/>
        </w:rPr>
        <w:t>European Management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32</w:t>
      </w:r>
      <w:r w:rsidRPr="006C03D4">
        <w:rPr>
          <w:rFonts w:ascii="Times New Roman" w:hAnsi="Times New Roman" w:cs="Times New Roman"/>
          <w:color w:val="222222"/>
          <w:sz w:val="24"/>
          <w:szCs w:val="24"/>
          <w:shd w:val="clear" w:color="auto" w:fill="FFFFFF"/>
        </w:rPr>
        <w:t>(5), 823-836.</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Mani, V., Agrawal, R., &amp; Sharma, V. (2015). Supply chain social sustainability: A comparative case analysis in Indian manufacturing industries. </w:t>
      </w:r>
      <w:r w:rsidRPr="006C03D4">
        <w:rPr>
          <w:rFonts w:ascii="Times New Roman" w:hAnsi="Times New Roman" w:cs="Times New Roman"/>
          <w:i/>
          <w:iCs/>
          <w:color w:val="222222"/>
          <w:sz w:val="24"/>
          <w:szCs w:val="24"/>
          <w:shd w:val="clear" w:color="auto" w:fill="FFFFFF"/>
        </w:rPr>
        <w:t>Procedia-Social and Behavioral Sciences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189</w:t>
      </w:r>
      <w:r w:rsidRPr="006C03D4">
        <w:rPr>
          <w:rFonts w:ascii="Times New Roman" w:hAnsi="Times New Roman" w:cs="Times New Roman"/>
          <w:color w:val="222222"/>
          <w:sz w:val="24"/>
          <w:szCs w:val="24"/>
          <w:shd w:val="clear" w:color="auto" w:fill="FFFFFF"/>
        </w:rPr>
        <w:t>, 234-251.</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Na, D., Lee, J., &amp; Na, Y. (2014). Relationship of TBL component in corporate sustainable management of fashion company with company evaluation and brand image. </w:t>
      </w:r>
      <w:r w:rsidRPr="006C03D4">
        <w:rPr>
          <w:rFonts w:ascii="Times New Roman" w:hAnsi="Times New Roman" w:cs="Times New Roman"/>
          <w:i/>
          <w:iCs/>
          <w:color w:val="222222"/>
          <w:sz w:val="24"/>
          <w:szCs w:val="24"/>
          <w:shd w:val="clear" w:color="auto" w:fill="FFFFFF"/>
        </w:rPr>
        <w:t>Fashion &amp; Textile Research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16</w:t>
      </w:r>
      <w:r w:rsidRPr="006C03D4">
        <w:rPr>
          <w:rFonts w:ascii="Times New Roman" w:hAnsi="Times New Roman" w:cs="Times New Roman"/>
          <w:color w:val="222222"/>
          <w:sz w:val="24"/>
          <w:szCs w:val="24"/>
          <w:shd w:val="clear" w:color="auto" w:fill="FFFFFF"/>
        </w:rPr>
        <w:t>(2), 293-300.</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No, C. V. R., &amp; Fasanvej, S. (2015). Sustainability report 2015.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Onat, N. C., Kucukvar, M., &amp; Tatari, O. (2014). Integrating triple bottom line input–output analysis into life cycle sustainability assessment framework: the case for US buildings. </w:t>
      </w:r>
      <w:r w:rsidRPr="006C03D4">
        <w:rPr>
          <w:rFonts w:ascii="Times New Roman" w:hAnsi="Times New Roman" w:cs="Times New Roman"/>
          <w:i/>
          <w:iCs/>
          <w:color w:val="222222"/>
          <w:sz w:val="24"/>
          <w:szCs w:val="24"/>
          <w:shd w:val="clear" w:color="auto" w:fill="FFFFFF"/>
        </w:rPr>
        <w:t>The International Journal of Life Cycle Assessment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19</w:t>
      </w:r>
      <w:r w:rsidRPr="006C03D4">
        <w:rPr>
          <w:rFonts w:ascii="Times New Roman" w:hAnsi="Times New Roman" w:cs="Times New Roman"/>
          <w:color w:val="222222"/>
          <w:sz w:val="24"/>
          <w:szCs w:val="24"/>
          <w:shd w:val="clear" w:color="auto" w:fill="FFFFFF"/>
        </w:rPr>
        <w:t>(8), 1488-1505.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Pal, R. (2017). Sustainable design and business models in textile and fashion industry. In </w:t>
      </w:r>
      <w:r w:rsidRPr="006C03D4">
        <w:rPr>
          <w:rFonts w:ascii="Times New Roman" w:hAnsi="Times New Roman" w:cs="Times New Roman"/>
          <w:i/>
          <w:iCs/>
          <w:color w:val="222222"/>
          <w:sz w:val="24"/>
          <w:szCs w:val="24"/>
          <w:shd w:val="clear" w:color="auto" w:fill="FFFFFF"/>
        </w:rPr>
        <w:t>Sustainability in the Textile Industry</w:t>
      </w:r>
      <w:r w:rsidRPr="006C03D4">
        <w:rPr>
          <w:rFonts w:ascii="Times New Roman" w:hAnsi="Times New Roman" w:cs="Times New Roman"/>
          <w:color w:val="222222"/>
          <w:sz w:val="24"/>
          <w:szCs w:val="24"/>
          <w:shd w:val="clear" w:color="auto" w:fill="FFFFFF"/>
        </w:rPr>
        <w:t> (pp. 109-138). Springer, Singapore.</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Park, H., &amp; Kim, Y. K. (2016). An empirical test of the triple bottom line of customer-centric sustainability: The case of fast fashion. </w:t>
      </w:r>
      <w:r w:rsidRPr="006C03D4">
        <w:rPr>
          <w:rFonts w:ascii="Times New Roman" w:hAnsi="Times New Roman" w:cs="Times New Roman"/>
          <w:i/>
          <w:iCs/>
          <w:color w:val="222222"/>
          <w:sz w:val="24"/>
          <w:szCs w:val="24"/>
          <w:shd w:val="clear" w:color="auto" w:fill="FFFFFF"/>
        </w:rPr>
        <w:t>Fashion and Textiles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w:t>
      </w:r>
      <w:r w:rsidRPr="006C03D4">
        <w:rPr>
          <w:rFonts w:ascii="Times New Roman" w:hAnsi="Times New Roman" w:cs="Times New Roman"/>
          <w:color w:val="222222"/>
          <w:sz w:val="24"/>
          <w:szCs w:val="24"/>
          <w:shd w:val="clear" w:color="auto" w:fill="FFFFFF"/>
        </w:rPr>
        <w:t>(1), 25.</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lastRenderedPageBreak/>
        <w:t>Petrenko, O. V., Aime, F., Ridge, J., &amp; Hill, A. (2016). Corporate social responsibility or CEO narcissism? CSR motivations and organizational performance. </w:t>
      </w:r>
      <w:r w:rsidRPr="006C03D4">
        <w:rPr>
          <w:rFonts w:ascii="Times New Roman" w:hAnsi="Times New Roman" w:cs="Times New Roman"/>
          <w:i/>
          <w:iCs/>
          <w:color w:val="222222"/>
          <w:sz w:val="24"/>
          <w:szCs w:val="24"/>
          <w:shd w:val="clear" w:color="auto" w:fill="FFFFFF"/>
        </w:rPr>
        <w:t>Strategic Management Journal</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37</w:t>
      </w:r>
      <w:r w:rsidRPr="006C03D4">
        <w:rPr>
          <w:rFonts w:ascii="Times New Roman" w:hAnsi="Times New Roman" w:cs="Times New Roman"/>
          <w:color w:val="222222"/>
          <w:sz w:val="24"/>
          <w:szCs w:val="24"/>
          <w:shd w:val="clear" w:color="auto" w:fill="FFFFFF"/>
        </w:rPr>
        <w:t>(2), 262-279.</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Rambaud, A., &amp; Richard, J. (2015). The “Triple Depreciation Line” instead of the “Triple Bottom Line”: towards a genuine integrated reporting. </w:t>
      </w:r>
      <w:r w:rsidRPr="006C03D4">
        <w:rPr>
          <w:rFonts w:ascii="Times New Roman" w:hAnsi="Times New Roman" w:cs="Times New Roman"/>
          <w:i/>
          <w:iCs/>
          <w:color w:val="222222"/>
          <w:sz w:val="24"/>
          <w:szCs w:val="24"/>
          <w:shd w:val="clear" w:color="auto" w:fill="FFFFFF"/>
        </w:rPr>
        <w:t>Critical Perspectives on Accounting</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33</w:t>
      </w:r>
      <w:r w:rsidRPr="006C03D4">
        <w:rPr>
          <w:rFonts w:ascii="Times New Roman" w:hAnsi="Times New Roman" w:cs="Times New Roman"/>
          <w:color w:val="222222"/>
          <w:sz w:val="24"/>
          <w:szCs w:val="24"/>
          <w:shd w:val="clear" w:color="auto" w:fill="FFFFFF"/>
        </w:rPr>
        <w:t>, 92-116.</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Sarkis, J., &amp; Dhavale, D. G. (2015). Supplier selection for sustainable operations: A triple-bottom-line approach using a Bayesian framework. </w:t>
      </w:r>
      <w:r w:rsidRPr="006C03D4">
        <w:rPr>
          <w:rFonts w:ascii="Times New Roman" w:hAnsi="Times New Roman" w:cs="Times New Roman"/>
          <w:i/>
          <w:iCs/>
          <w:color w:val="222222"/>
          <w:sz w:val="24"/>
          <w:szCs w:val="24"/>
          <w:shd w:val="clear" w:color="auto" w:fill="FFFFFF"/>
        </w:rPr>
        <w:t>International Journal of Production Economics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166</w:t>
      </w:r>
      <w:r w:rsidRPr="006C03D4">
        <w:rPr>
          <w:rFonts w:ascii="Times New Roman" w:hAnsi="Times New Roman" w:cs="Times New Roman"/>
          <w:color w:val="222222"/>
          <w:sz w:val="24"/>
          <w:szCs w:val="24"/>
          <w:shd w:val="clear" w:color="auto" w:fill="FFFFFF"/>
        </w:rPr>
        <w:t>, 177-191.</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Unit, B. (2015). Corporate social responsibility.</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Wilhelm, M. M., Blome, C., Bhakoo, V., &amp; Paulraj, A. (2016). Sustainability in multi-tier supply chains: Understanding the double agency role of the first-tier supplier. </w:t>
      </w:r>
      <w:r w:rsidRPr="006C03D4">
        <w:rPr>
          <w:rFonts w:ascii="Times New Roman" w:hAnsi="Times New Roman" w:cs="Times New Roman"/>
          <w:i/>
          <w:iCs/>
          <w:color w:val="222222"/>
          <w:sz w:val="24"/>
          <w:szCs w:val="24"/>
          <w:shd w:val="clear" w:color="auto" w:fill="FFFFFF"/>
        </w:rPr>
        <w:t>Journal of Operations Management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41</w:t>
      </w:r>
      <w:r w:rsidRPr="006C03D4">
        <w:rPr>
          <w:rFonts w:ascii="Times New Roman" w:hAnsi="Times New Roman" w:cs="Times New Roman"/>
          <w:color w:val="222222"/>
          <w:sz w:val="24"/>
          <w:szCs w:val="24"/>
          <w:shd w:val="clear" w:color="auto" w:fill="FFFFFF"/>
        </w:rPr>
        <w:t>, 42-60.</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Wilson, J. P. (2015). The triple bottom line: Undertaking an economic, social, and environmental retail sustainability strategy. </w:t>
      </w:r>
      <w:r w:rsidRPr="006C03D4">
        <w:rPr>
          <w:rFonts w:ascii="Times New Roman" w:hAnsi="Times New Roman" w:cs="Times New Roman"/>
          <w:i/>
          <w:iCs/>
          <w:color w:val="222222"/>
          <w:sz w:val="24"/>
          <w:szCs w:val="24"/>
          <w:shd w:val="clear" w:color="auto" w:fill="FFFFFF"/>
        </w:rPr>
        <w:t>International Journal of Retail &amp; Distribution Management</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43</w:t>
      </w:r>
      <w:r w:rsidRPr="006C03D4">
        <w:rPr>
          <w:rFonts w:ascii="Times New Roman" w:hAnsi="Times New Roman" w:cs="Times New Roman"/>
          <w:color w:val="222222"/>
          <w:sz w:val="24"/>
          <w:szCs w:val="24"/>
          <w:shd w:val="clear" w:color="auto" w:fill="FFFFFF"/>
        </w:rPr>
        <w:t>(4/5), 432-447.</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r w:rsidRPr="006C03D4">
        <w:rPr>
          <w:rFonts w:ascii="Times New Roman" w:hAnsi="Times New Roman" w:cs="Times New Roman"/>
          <w:color w:val="222222"/>
          <w:sz w:val="24"/>
          <w:szCs w:val="24"/>
          <w:shd w:val="clear" w:color="auto" w:fill="FFFFFF"/>
        </w:rPr>
        <w:t>Wise, N. (2016). Outlining triple bottom line contexts in urban tourism regeneration. </w:t>
      </w:r>
      <w:r w:rsidRPr="006C03D4">
        <w:rPr>
          <w:rFonts w:ascii="Times New Roman" w:hAnsi="Times New Roman" w:cs="Times New Roman"/>
          <w:i/>
          <w:iCs/>
          <w:color w:val="222222"/>
          <w:sz w:val="24"/>
          <w:szCs w:val="24"/>
          <w:shd w:val="clear" w:color="auto" w:fill="FFFFFF"/>
        </w:rPr>
        <w:t>Cities</w:t>
      </w:r>
      <w:r w:rsidRPr="006C03D4">
        <w:rPr>
          <w:rFonts w:ascii="Times New Roman" w:hAnsi="Times New Roman" w:cs="Times New Roman"/>
          <w:color w:val="222222"/>
          <w:sz w:val="24"/>
          <w:szCs w:val="24"/>
          <w:shd w:val="clear" w:color="auto" w:fill="FFFFFF"/>
        </w:rPr>
        <w:t>, </w:t>
      </w:r>
      <w:r w:rsidRPr="006C03D4">
        <w:rPr>
          <w:rFonts w:ascii="Times New Roman" w:hAnsi="Times New Roman" w:cs="Times New Roman"/>
          <w:i/>
          <w:iCs/>
          <w:color w:val="222222"/>
          <w:sz w:val="24"/>
          <w:szCs w:val="24"/>
          <w:shd w:val="clear" w:color="auto" w:fill="FFFFFF"/>
        </w:rPr>
        <w:t>53</w:t>
      </w:r>
      <w:r w:rsidRPr="006C03D4">
        <w:rPr>
          <w:rFonts w:ascii="Times New Roman" w:hAnsi="Times New Roman" w:cs="Times New Roman"/>
          <w:color w:val="222222"/>
          <w:sz w:val="24"/>
          <w:szCs w:val="24"/>
          <w:shd w:val="clear" w:color="auto" w:fill="FFFFFF"/>
        </w:rPr>
        <w:t>, 30-34.</w:t>
      </w: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p>
    <w:p w:rsidR="006C03D4" w:rsidRPr="006C03D4" w:rsidRDefault="006C03D4" w:rsidP="006C03D4">
      <w:pPr>
        <w:spacing w:line="480" w:lineRule="auto"/>
        <w:ind w:left="720" w:hanging="720"/>
        <w:rPr>
          <w:rFonts w:ascii="Times New Roman" w:hAnsi="Times New Roman" w:cs="Times New Roman"/>
          <w:color w:val="222222"/>
          <w:sz w:val="24"/>
          <w:szCs w:val="24"/>
          <w:shd w:val="clear" w:color="auto" w:fill="FFFFFF"/>
        </w:rPr>
      </w:pPr>
    </w:p>
    <w:p w:rsidR="006C03D4" w:rsidRPr="006C03D4" w:rsidRDefault="006C03D4" w:rsidP="006C03D4">
      <w:pPr>
        <w:spacing w:line="480" w:lineRule="auto"/>
        <w:rPr>
          <w:rFonts w:ascii="Times New Roman" w:hAnsi="Times New Roman" w:cs="Times New Roman"/>
          <w:sz w:val="24"/>
          <w:szCs w:val="24"/>
        </w:rPr>
      </w:pPr>
    </w:p>
    <w:p w:rsidR="006C03D4" w:rsidRPr="006C03D4" w:rsidRDefault="006C03D4" w:rsidP="006C03D4">
      <w:pPr>
        <w:spacing w:line="480" w:lineRule="auto"/>
        <w:ind w:firstLine="720"/>
        <w:rPr>
          <w:rFonts w:ascii="Times New Roman" w:hAnsi="Times New Roman" w:cs="Times New Roman"/>
          <w:sz w:val="24"/>
          <w:szCs w:val="24"/>
        </w:rPr>
      </w:pPr>
    </w:p>
    <w:p w:rsidR="006C03D4" w:rsidRPr="006C03D4" w:rsidRDefault="006C03D4" w:rsidP="006C03D4">
      <w:pPr>
        <w:spacing w:line="480" w:lineRule="auto"/>
        <w:rPr>
          <w:rFonts w:ascii="Times New Roman" w:hAnsi="Times New Roman" w:cs="Times New Roman"/>
          <w:sz w:val="24"/>
          <w:szCs w:val="24"/>
        </w:rPr>
      </w:pPr>
    </w:p>
    <w:p w:rsidR="006C03D4" w:rsidRPr="006C03D4" w:rsidRDefault="006C03D4" w:rsidP="006C03D4">
      <w:pPr>
        <w:spacing w:line="480" w:lineRule="auto"/>
        <w:rPr>
          <w:rFonts w:ascii="Times New Roman" w:hAnsi="Times New Roman" w:cs="Times New Roman"/>
          <w:sz w:val="24"/>
          <w:szCs w:val="24"/>
        </w:rPr>
      </w:pPr>
    </w:p>
    <w:p w:rsidR="005F0A09" w:rsidRDefault="005F0A09"/>
    <w:sectPr w:rsidR="005F0A09" w:rsidSect="007F05A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sidRPr="00AA7117">
      <w:rPr>
        <w:rFonts w:ascii="Times New Roman" w:hAnsi="Times New Roman" w:cs="Times New Roman"/>
        <w:sz w:val="24"/>
        <w:szCs w:val="24"/>
      </w:rPr>
      <w:t>GIORDANO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Pr>
        <w:rFonts w:ascii="Times New Roman" w:hAnsi="Times New Roman" w:cs="Times New Roman"/>
        <w:noProof/>
        <w:sz w:val="24"/>
        <w:szCs w:val="24"/>
      </w:rPr>
      <w:t>10</w:t>
    </w:r>
    <w:r w:rsidRPr="007F05A5">
      <w:rPr>
        <w:rFonts w:ascii="Times New Roman" w:hAnsi="Times New Roman" w:cs="Times New Roman"/>
        <w:noProof/>
        <w:sz w:val="24"/>
        <w:szCs w:val="24"/>
      </w:rPr>
      <w:fldChar w:fldCharType="end"/>
    </w:r>
  </w:p>
  <w:p w:rsidR="007F05A5" w:rsidRDefault="006C03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Pr>
        <w:rFonts w:ascii="Times New Roman" w:hAnsi="Times New Roman" w:cs="Times New Roman"/>
        <w:sz w:val="24"/>
        <w:szCs w:val="24"/>
      </w:rPr>
      <w:t xml:space="preserve">Running head: </w:t>
    </w:r>
    <w:r w:rsidRPr="00AA7117">
      <w:rPr>
        <w:rFonts w:ascii="Times New Roman" w:hAnsi="Times New Roman" w:cs="Times New Roman"/>
        <w:sz w:val="24"/>
        <w:szCs w:val="24"/>
      </w:rPr>
      <w:t>GIOR</w:t>
    </w:r>
    <w:r w:rsidRPr="00AA7117">
      <w:rPr>
        <w:rFonts w:ascii="Times New Roman" w:hAnsi="Times New Roman" w:cs="Times New Roman"/>
        <w:sz w:val="24"/>
        <w:szCs w:val="24"/>
      </w:rPr>
      <w:t>DANO</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6C03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D4"/>
    <w:rsid w:val="005F0A09"/>
    <w:rsid w:val="006C0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95A2A-B125-419C-B1A5-CD3C9DA5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D4"/>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6C03D4"/>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4029</Words>
  <Characters>22968</Characters>
  <Application>Microsoft Office Word</Application>
  <DocSecurity>0</DocSecurity>
  <Lines>191</Lines>
  <Paragraphs>53</Paragraphs>
  <ScaleCrop>false</ScaleCrop>
  <Company/>
  <LinksUpToDate>false</LinksUpToDate>
  <CharactersWithSpaces>26944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2019-04-21T13:33:00Z</dcterms:created>
  <dcterms:modified xsi:type="dcterms:W3CDTF">2019-04-21T13:34:00Z</dcterms:modified>
</cp:coreProperties>
</file>