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1DC2F6" w14:textId="0CA61353" w:rsidR="00564A09" w:rsidRDefault="00564A09" w:rsidP="000606CB">
      <w:pPr>
        <w:ind w:firstLine="0"/>
      </w:pPr>
    </w:p>
    <w:p w14:paraId="5A3FFDAA" w14:textId="63F34A88" w:rsidR="00564A09" w:rsidRDefault="00564A09" w:rsidP="000606CB">
      <w:pPr>
        <w:ind w:firstLine="0"/>
      </w:pPr>
    </w:p>
    <w:p w14:paraId="077F3334" w14:textId="35DC05AB" w:rsidR="00564A09" w:rsidRDefault="00564A09" w:rsidP="000606CB">
      <w:pPr>
        <w:ind w:firstLine="0"/>
      </w:pPr>
    </w:p>
    <w:p w14:paraId="54D2384D" w14:textId="1FC6D13E" w:rsidR="00564A09" w:rsidRDefault="00564A09" w:rsidP="000606CB">
      <w:pPr>
        <w:ind w:firstLine="0"/>
      </w:pPr>
    </w:p>
    <w:p w14:paraId="29560740" w14:textId="6460DFEA" w:rsidR="00564A09" w:rsidRDefault="00564A09" w:rsidP="000606CB">
      <w:pPr>
        <w:ind w:firstLine="0"/>
      </w:pPr>
    </w:p>
    <w:p w14:paraId="737B00A7" w14:textId="50D4EF0B" w:rsidR="00564A09" w:rsidRDefault="00564A09" w:rsidP="000606CB">
      <w:pPr>
        <w:ind w:firstLine="0"/>
      </w:pPr>
    </w:p>
    <w:p w14:paraId="13E353E3" w14:textId="1315EB9B" w:rsidR="00564A09" w:rsidRDefault="00564A09" w:rsidP="000606CB">
      <w:pPr>
        <w:ind w:firstLine="0"/>
      </w:pPr>
    </w:p>
    <w:p w14:paraId="4AFC5F5E" w14:textId="4EE36C9E" w:rsidR="00564A09" w:rsidRDefault="00564A09" w:rsidP="000606CB">
      <w:pPr>
        <w:ind w:firstLine="0"/>
      </w:pPr>
    </w:p>
    <w:p w14:paraId="05CAD094" w14:textId="50B075D0" w:rsidR="00564A09" w:rsidRDefault="00564A09" w:rsidP="000606CB">
      <w:pPr>
        <w:ind w:firstLine="0"/>
      </w:pPr>
    </w:p>
    <w:p w14:paraId="1CA4814F" w14:textId="77777777" w:rsidR="00564A09" w:rsidRDefault="00564A09" w:rsidP="000606CB">
      <w:pPr>
        <w:ind w:firstLine="0"/>
      </w:pPr>
    </w:p>
    <w:p w14:paraId="17BF3B3C" w14:textId="19E1F5F9" w:rsidR="00564A09" w:rsidRDefault="00564A09" w:rsidP="00564A09">
      <w:pPr>
        <w:ind w:firstLine="0"/>
        <w:jc w:val="center"/>
      </w:pPr>
      <w:r>
        <w:t>Business Law</w:t>
      </w:r>
    </w:p>
    <w:p w14:paraId="0FC87A34" w14:textId="6E0177E2" w:rsidR="00564A09" w:rsidRDefault="00564A09" w:rsidP="000606CB">
      <w:pPr>
        <w:ind w:firstLine="0"/>
      </w:pPr>
    </w:p>
    <w:p w14:paraId="4960FE2E" w14:textId="290405E7" w:rsidR="00564A09" w:rsidRDefault="00564A09" w:rsidP="000606CB">
      <w:pPr>
        <w:ind w:firstLine="0"/>
      </w:pPr>
    </w:p>
    <w:p w14:paraId="1A632492" w14:textId="687EAA9C" w:rsidR="00564A09" w:rsidRDefault="00564A09" w:rsidP="000606CB">
      <w:pPr>
        <w:ind w:firstLine="0"/>
      </w:pPr>
    </w:p>
    <w:p w14:paraId="5E641E01" w14:textId="41DFE574" w:rsidR="00564A09" w:rsidRDefault="00564A09" w:rsidP="000606CB">
      <w:pPr>
        <w:ind w:firstLine="0"/>
      </w:pPr>
    </w:p>
    <w:p w14:paraId="45726BDB" w14:textId="51A08CCB" w:rsidR="00564A09" w:rsidRDefault="00564A09" w:rsidP="000606CB">
      <w:pPr>
        <w:ind w:firstLine="0"/>
      </w:pPr>
    </w:p>
    <w:p w14:paraId="17463897" w14:textId="77777777" w:rsidR="00564A09" w:rsidRDefault="00564A09" w:rsidP="000606CB">
      <w:pPr>
        <w:ind w:firstLine="0"/>
      </w:pPr>
    </w:p>
    <w:p w14:paraId="11BE0CD7" w14:textId="5313FA67" w:rsidR="00564A09" w:rsidRDefault="00564A09" w:rsidP="00564A09">
      <w:pPr>
        <w:ind w:firstLine="0"/>
        <w:jc w:val="center"/>
      </w:pPr>
      <w:r>
        <w:t>Name of the student</w:t>
      </w:r>
    </w:p>
    <w:p w14:paraId="594D1B74" w14:textId="407A3256" w:rsidR="00564A09" w:rsidRDefault="00564A09" w:rsidP="00564A09">
      <w:pPr>
        <w:ind w:firstLine="0"/>
        <w:jc w:val="center"/>
      </w:pPr>
      <w:r>
        <w:t>Institution Affiliation</w:t>
      </w:r>
    </w:p>
    <w:p w14:paraId="4B18BF1B" w14:textId="68C91404" w:rsidR="00564A09" w:rsidRDefault="00564A09" w:rsidP="00564A09">
      <w:pPr>
        <w:ind w:firstLine="0"/>
        <w:jc w:val="center"/>
      </w:pPr>
      <w:r>
        <w:t>Date</w:t>
      </w:r>
    </w:p>
    <w:p w14:paraId="54CC036C" w14:textId="77777777" w:rsidR="00564A09" w:rsidRDefault="00564A09" w:rsidP="00564A09">
      <w:pPr>
        <w:ind w:firstLine="0"/>
        <w:jc w:val="center"/>
      </w:pPr>
    </w:p>
    <w:p w14:paraId="0EA6D9B5" w14:textId="03303B76" w:rsidR="00564A09" w:rsidRDefault="00564A09" w:rsidP="000606CB">
      <w:pPr>
        <w:ind w:firstLine="0"/>
      </w:pPr>
    </w:p>
    <w:p w14:paraId="6C65CA26" w14:textId="77777777" w:rsidR="005A0421" w:rsidRDefault="005A0421" w:rsidP="000606CB">
      <w:pPr>
        <w:ind w:firstLine="0"/>
      </w:pPr>
    </w:p>
    <w:p w14:paraId="42E66D38" w14:textId="51A6FF8E" w:rsidR="000606CB" w:rsidRPr="005A0421" w:rsidRDefault="00564A09" w:rsidP="000606CB">
      <w:pPr>
        <w:ind w:firstLine="0"/>
        <w:rPr>
          <w:i/>
          <w:iCs/>
        </w:rPr>
      </w:pPr>
      <w:r w:rsidRPr="005A0421">
        <w:rPr>
          <w:i/>
          <w:iCs/>
        </w:rPr>
        <w:lastRenderedPageBreak/>
        <w:t xml:space="preserve">Bus law Suing of United based company vs foreign nation </w:t>
      </w:r>
    </w:p>
    <w:p w14:paraId="31A9F59E" w14:textId="1808FB10" w:rsidR="000606CB" w:rsidRPr="005A0421" w:rsidRDefault="000606CB" w:rsidP="000606CB">
      <w:pPr>
        <w:ind w:firstLine="0"/>
      </w:pPr>
      <w:r>
        <w:t xml:space="preserve">With the increased globalization occurring around the world, this is exposing the </w:t>
      </w:r>
      <w:r>
        <w:t>U</w:t>
      </w:r>
      <w:r>
        <w:t>nite State-based company to be exposed to the oversea market. The rules that the united states have kept in place o</w:t>
      </w:r>
      <w:r>
        <w:t xml:space="preserve">f </w:t>
      </w:r>
      <w:r>
        <w:t>manage the trading oversee are said to be friendly yet at the same time have them the reputation of expansive and also expensive litigation. Upon breaching of contract involving a united based company and another nation, one can be in apposition to sue the country for the breach of the contract. Notably, in the united states, being stationed oversee does not in any way exempt one from being summoned and sued in the court</w:t>
      </w:r>
      <w:r>
        <w:t xml:space="preserve"> (</w:t>
      </w:r>
      <w:r>
        <w:rPr>
          <w:rFonts w:ascii="Arial" w:hAnsi="Arial" w:cs="Arial"/>
          <w:color w:val="222222"/>
          <w:sz w:val="20"/>
          <w:szCs w:val="20"/>
          <w:shd w:val="clear" w:color="auto" w:fill="FFFFFF"/>
        </w:rPr>
        <w:t>Miller,</w:t>
      </w:r>
      <w:r>
        <w:rPr>
          <w:rFonts w:ascii="Arial" w:hAnsi="Arial" w:cs="Arial"/>
          <w:color w:val="222222"/>
          <w:sz w:val="20"/>
          <w:szCs w:val="20"/>
          <w:shd w:val="clear" w:color="auto" w:fill="FFFFFF"/>
        </w:rPr>
        <w:t>2016)</w:t>
      </w:r>
      <w:r>
        <w:t xml:space="preserve">. For the country that is involved in the Hague service of the convention, the suing is easier as compared to the other country due to the permit to serve court amongst the countries. </w:t>
      </w:r>
    </w:p>
    <w:p w14:paraId="60408E28" w14:textId="77777777" w:rsidR="000606CB" w:rsidRPr="005A0421" w:rsidRDefault="000606CB" w:rsidP="000606CB">
      <w:pPr>
        <w:ind w:firstLine="0"/>
        <w:rPr>
          <w:i/>
          <w:iCs/>
        </w:rPr>
      </w:pPr>
      <w:r w:rsidRPr="005A0421">
        <w:rPr>
          <w:i/>
          <w:iCs/>
        </w:rPr>
        <w:t>Bus law 24 Ethical question</w:t>
      </w:r>
    </w:p>
    <w:p w14:paraId="6B523B21" w14:textId="2B94448B" w:rsidR="000606CB" w:rsidRDefault="000606CB" w:rsidP="000606CB">
      <w:pPr>
        <w:ind w:firstLine="0"/>
      </w:pPr>
      <w:r>
        <w:t>When addressing the question of the financial status of the company the CEO Chen Li in case he has not informed the stakeholders of the company of the seizures, he should refrain from disclosing the financial challenges that the company might be facing. However</w:t>
      </w:r>
      <w:r>
        <w:t>, t</w:t>
      </w:r>
      <w:r>
        <w:t>he only situation that he can be in a position to apply this ethical tactic is only if the problem shall recollect itself shortly mostly after a day</w:t>
      </w:r>
      <w:r>
        <w:t xml:space="preserve"> (</w:t>
      </w:r>
      <w:proofErr w:type="spellStart"/>
      <w:r>
        <w:rPr>
          <w:rFonts w:ascii="Arial" w:hAnsi="Arial" w:cs="Arial"/>
          <w:color w:val="222222"/>
          <w:sz w:val="20"/>
          <w:szCs w:val="20"/>
          <w:shd w:val="clear" w:color="auto" w:fill="FFFFFF"/>
        </w:rPr>
        <w:t>Honigsberg</w:t>
      </w:r>
      <w:proofErr w:type="spellEnd"/>
      <w:r>
        <w:rPr>
          <w:rFonts w:ascii="Arial" w:hAnsi="Arial" w:cs="Arial"/>
          <w:color w:val="222222"/>
          <w:sz w:val="20"/>
          <w:szCs w:val="20"/>
          <w:shd w:val="clear" w:color="auto" w:fill="FFFFFF"/>
        </w:rPr>
        <w:t xml:space="preserve"> 2019)</w:t>
      </w:r>
      <w:r>
        <w:t xml:space="preserve">. However, if there is enough time to convey an emergency meeting before going on air, the CEO should inform the stakeholders. Through informing the stakeholders the CEO during the interview, he shall have the choice of peaking the truth upholding the oath of office. </w:t>
      </w:r>
    </w:p>
    <w:p w14:paraId="4CB34CCF" w14:textId="77777777" w:rsidR="000606CB" w:rsidRPr="005A0421" w:rsidRDefault="000606CB" w:rsidP="000606CB">
      <w:pPr>
        <w:ind w:firstLine="0"/>
        <w:rPr>
          <w:i/>
          <w:iCs/>
        </w:rPr>
      </w:pPr>
    </w:p>
    <w:p w14:paraId="159689BA" w14:textId="77777777" w:rsidR="000606CB" w:rsidRPr="005A0421" w:rsidRDefault="000606CB" w:rsidP="000606CB">
      <w:pPr>
        <w:ind w:firstLine="0"/>
        <w:rPr>
          <w:i/>
          <w:iCs/>
        </w:rPr>
      </w:pPr>
      <w:r w:rsidRPr="005A0421">
        <w:rPr>
          <w:i/>
          <w:iCs/>
        </w:rPr>
        <w:t xml:space="preserve"> </w:t>
      </w:r>
      <w:proofErr w:type="spellStart"/>
      <w:r w:rsidRPr="005A0421">
        <w:rPr>
          <w:i/>
          <w:iCs/>
        </w:rPr>
        <w:t>Bus.law</w:t>
      </w:r>
      <w:proofErr w:type="spellEnd"/>
      <w:r w:rsidRPr="005A0421">
        <w:rPr>
          <w:i/>
          <w:iCs/>
        </w:rPr>
        <w:t xml:space="preserve"> 22.3</w:t>
      </w:r>
    </w:p>
    <w:p w14:paraId="4B2E66F5" w14:textId="1DA2F1B1" w:rsidR="000606CB" w:rsidRDefault="000606CB" w:rsidP="000606CB">
      <w:pPr>
        <w:ind w:firstLine="0"/>
      </w:pPr>
      <w:r>
        <w:t xml:space="preserve"> In the occurrence of the corn situation, I would first try and check out the magnitude of the storm destruction and if the areas that I am under contract are not hit by the storm. However, on </w:t>
      </w:r>
      <w:r>
        <w:lastRenderedPageBreak/>
        <w:t>the occurrence that this field has been hit by the storm, I shall try to check on the accommodation offered by the breaching rule on the occurrence of the storm</w:t>
      </w:r>
      <w:r>
        <w:t xml:space="preserve"> (</w:t>
      </w:r>
      <w:r>
        <w:rPr>
          <w:rFonts w:ascii="Arial" w:hAnsi="Arial" w:cs="Arial"/>
          <w:color w:val="222222"/>
          <w:sz w:val="20"/>
          <w:szCs w:val="20"/>
          <w:shd w:val="clear" w:color="auto" w:fill="FFFFFF"/>
        </w:rPr>
        <w:t>O'Brien,</w:t>
      </w:r>
      <w:r>
        <w:rPr>
          <w:rFonts w:ascii="Arial" w:hAnsi="Arial" w:cs="Arial"/>
          <w:color w:val="222222"/>
          <w:sz w:val="20"/>
          <w:szCs w:val="20"/>
          <w:shd w:val="clear" w:color="auto" w:fill="FFFFFF"/>
        </w:rPr>
        <w:t>2019)</w:t>
      </w:r>
      <w:r>
        <w:t xml:space="preserve">. Following the directive that shall be offered having considered both sides liability either through a settlement or court ruling, I shall follow it. </w:t>
      </w:r>
    </w:p>
    <w:p w14:paraId="4E309C4B" w14:textId="77777777" w:rsidR="000606CB" w:rsidRPr="005A0421" w:rsidRDefault="000606CB" w:rsidP="000606CB">
      <w:pPr>
        <w:ind w:firstLine="0"/>
        <w:rPr>
          <w:i/>
          <w:iCs/>
        </w:rPr>
      </w:pPr>
      <w:r w:rsidRPr="005A0421">
        <w:rPr>
          <w:i/>
          <w:iCs/>
        </w:rPr>
        <w:t xml:space="preserve"> Bus law 23.3</w:t>
      </w:r>
    </w:p>
    <w:p w14:paraId="39E8DA8A" w14:textId="5BFE5C0D" w:rsidR="000606CB" w:rsidRDefault="000606CB" w:rsidP="000606CB">
      <w:pPr>
        <w:ind w:firstLine="0"/>
      </w:pPr>
      <w:r>
        <w:t xml:space="preserve"> The breach of the warrant of the fitness of a particular purpose an individual is usually charged when he or she offers the wrong prescription or even a description of a product to a customer.  According to the sale interaction that I was involved with the customer, I offered her the appropriate information concerning the lightweight tent</w:t>
      </w:r>
      <w:r>
        <w:t xml:space="preserve"> (</w:t>
      </w:r>
      <w:r>
        <w:rPr>
          <w:rFonts w:ascii="Arial" w:hAnsi="Arial" w:cs="Arial"/>
          <w:color w:val="222222"/>
          <w:sz w:val="20"/>
          <w:szCs w:val="20"/>
          <w:shd w:val="clear" w:color="auto" w:fill="FFFFFF"/>
        </w:rPr>
        <w:t>Twomey</w:t>
      </w:r>
      <w:r>
        <w:rPr>
          <w:rFonts w:ascii="Arial" w:hAnsi="Arial" w:cs="Arial"/>
          <w:color w:val="222222"/>
          <w:sz w:val="20"/>
          <w:szCs w:val="20"/>
          <w:shd w:val="clear" w:color="auto" w:fill="FFFFFF"/>
        </w:rPr>
        <w:t xml:space="preserve"> 2019)</w:t>
      </w:r>
      <w:r>
        <w:t xml:space="preserve">. During the sale, I made sure to show her the rating of the tent. Notably, in the showing of the features that the tent had the customer declared her love for the new product that </w:t>
      </w:r>
      <w:proofErr w:type="spellStart"/>
      <w:r>
        <w:t>i</w:t>
      </w:r>
      <w:proofErr w:type="spellEnd"/>
      <w:r>
        <w:t xml:space="preserve"> had shown her. With her expressing satisfaction for the features that the tent had it formed as an indicator of the compliment with the breach of the warrant fitness for a particular fitness. </w:t>
      </w:r>
    </w:p>
    <w:p w14:paraId="3514AC30" w14:textId="77777777" w:rsidR="000606CB" w:rsidRPr="005A0421" w:rsidRDefault="000606CB" w:rsidP="000606CB">
      <w:pPr>
        <w:ind w:firstLine="0"/>
        <w:rPr>
          <w:i/>
          <w:iCs/>
        </w:rPr>
      </w:pPr>
      <w:r w:rsidRPr="005A0421">
        <w:rPr>
          <w:i/>
          <w:iCs/>
        </w:rPr>
        <w:t xml:space="preserve"> Bus law 24: space mining exploration</w:t>
      </w:r>
    </w:p>
    <w:p w14:paraId="751E6EEC" w14:textId="770B2ECC" w:rsidR="000606CB" w:rsidRDefault="000606CB" w:rsidP="000606CB">
      <w:pPr>
        <w:ind w:firstLine="0"/>
      </w:pPr>
      <w:r>
        <w:t xml:space="preserve"> In the exploitation in the space more so in the developed countries such as the united states, France and China, it is recommended that one get the necessary permits</w:t>
      </w:r>
      <w:r>
        <w:t xml:space="preserve"> (</w:t>
      </w:r>
      <w:r>
        <w:rPr>
          <w:rFonts w:ascii="Arial" w:hAnsi="Arial" w:cs="Arial"/>
          <w:color w:val="222222"/>
          <w:sz w:val="20"/>
          <w:szCs w:val="20"/>
          <w:shd w:val="clear" w:color="auto" w:fill="FFFFFF"/>
        </w:rPr>
        <w:t>Twomey 2019</w:t>
      </w:r>
      <w:r>
        <w:rPr>
          <w:rFonts w:ascii="Arial" w:hAnsi="Arial" w:cs="Arial"/>
          <w:color w:val="222222"/>
          <w:sz w:val="20"/>
          <w:szCs w:val="20"/>
          <w:shd w:val="clear" w:color="auto" w:fill="FFFFFF"/>
        </w:rPr>
        <w:t>)</w:t>
      </w:r>
      <w:r>
        <w:t xml:space="preserve">. So as to make sure that there is no commotion between the government and my company. However, in making sure that I dominate the company that shall be directly involved in the mining, I shall request an agreement that makes me the CEO of the company. I shall also require that the oversight role is assigned to me.  However, I shall use all the avenues to make sure that the company's monopoly is not interfered with. </w:t>
      </w:r>
    </w:p>
    <w:p w14:paraId="2B924A7F" w14:textId="77777777" w:rsidR="000606CB" w:rsidRPr="005A0421" w:rsidRDefault="000606CB" w:rsidP="000606CB">
      <w:pPr>
        <w:ind w:firstLine="0"/>
        <w:rPr>
          <w:i/>
          <w:iCs/>
        </w:rPr>
      </w:pPr>
      <w:r w:rsidRPr="005A0421">
        <w:rPr>
          <w:i/>
          <w:iCs/>
        </w:rPr>
        <w:t>Discussion question Bus law 24 DQ</w:t>
      </w:r>
    </w:p>
    <w:p w14:paraId="2640C03B" w14:textId="1E8169BC" w:rsidR="000606CB" w:rsidRDefault="000606CB" w:rsidP="00564A09">
      <w:pPr>
        <w:pStyle w:val="ListParagraph"/>
        <w:numPr>
          <w:ilvl w:val="0"/>
          <w:numId w:val="2"/>
        </w:numPr>
      </w:pPr>
      <w:r>
        <w:lastRenderedPageBreak/>
        <w:t xml:space="preserve">On the occurrence of the presence of a variable mineral in the celestial bodies, the government should not restrict their mining. If through mining them is a cheaper avenue than mining in the earth, the government should allow the exploration of this mineral. Through the exploration of mineral in space, it is a great way to opens up the possibility of the discovery of new invention and also technology. </w:t>
      </w:r>
    </w:p>
    <w:p w14:paraId="1D1B65F6" w14:textId="77777777" w:rsidR="000606CB" w:rsidRDefault="000606CB" w:rsidP="000606CB">
      <w:pPr>
        <w:ind w:firstLine="0"/>
      </w:pPr>
    </w:p>
    <w:p w14:paraId="48B2B558" w14:textId="7CDD58F1" w:rsidR="000606CB" w:rsidRDefault="000606CB" w:rsidP="00564A09">
      <w:pPr>
        <w:pStyle w:val="ListParagraph"/>
        <w:numPr>
          <w:ilvl w:val="0"/>
          <w:numId w:val="2"/>
        </w:numPr>
      </w:pPr>
      <w:r>
        <w:t>Concerning the commercial recovery of space resources rules and the outer space treaty prohibition, they are often argued that they usually conflict. According to the outer space treaty, the government does prohibit the exploration of mineral in the celestial bodies; however, for the commercial recovery space resource agreement, it does allow the exploration for commercial activities only.  These two rules clearly contradict each other, making it hard for investors to exploit this opportunity.</w:t>
      </w:r>
    </w:p>
    <w:p w14:paraId="0AE3D35A" w14:textId="55C24914" w:rsidR="000606CB" w:rsidRDefault="000606CB" w:rsidP="00564A09">
      <w:pPr>
        <w:pStyle w:val="ListParagraph"/>
        <w:numPr>
          <w:ilvl w:val="0"/>
          <w:numId w:val="2"/>
        </w:numPr>
      </w:pPr>
      <w:r>
        <w:t xml:space="preserve">With the many risks that the country would expose itself with the exploration of the minerals in the space are unidentified.  This, however, makes the government put in limits on the various regulation prohibiting the exploration of minerals in space.  </w:t>
      </w:r>
    </w:p>
    <w:p w14:paraId="07074812" w14:textId="4FC06E0C" w:rsidR="00647F3A" w:rsidRDefault="000606CB" w:rsidP="00564A09">
      <w:pPr>
        <w:pStyle w:val="ListParagraph"/>
        <w:numPr>
          <w:ilvl w:val="0"/>
          <w:numId w:val="2"/>
        </w:numPr>
      </w:pPr>
      <w:r>
        <w:t xml:space="preserve">Concerning a foreign Citizen suing a private United states company concerning space exploration, the case can be heard in the United States due to the restrict compliance of the united states in upholding national regulation on space exploration.  </w:t>
      </w:r>
    </w:p>
    <w:p w14:paraId="1030A1E6" w14:textId="34BFB931" w:rsidR="000606CB" w:rsidRDefault="000606CB" w:rsidP="000606CB">
      <w:pPr>
        <w:ind w:firstLine="0"/>
      </w:pPr>
    </w:p>
    <w:p w14:paraId="51C73B00" w14:textId="77777777" w:rsidR="00564A09" w:rsidRDefault="00564A09" w:rsidP="00564A09">
      <w:pPr>
        <w:ind w:firstLine="0"/>
      </w:pPr>
    </w:p>
    <w:p w14:paraId="2785F7BA" w14:textId="72165705" w:rsidR="00564A09" w:rsidRDefault="00564A09" w:rsidP="00564A09">
      <w:pPr>
        <w:ind w:firstLine="0"/>
      </w:pPr>
    </w:p>
    <w:p w14:paraId="5E154271" w14:textId="70A2CAFB" w:rsidR="005A0421" w:rsidRDefault="005A0421" w:rsidP="00564A09">
      <w:pPr>
        <w:ind w:firstLine="0"/>
      </w:pPr>
    </w:p>
    <w:p w14:paraId="02D7FF9F" w14:textId="77777777" w:rsidR="005A0421" w:rsidRDefault="005A0421" w:rsidP="00564A09">
      <w:pPr>
        <w:ind w:firstLine="0"/>
      </w:pPr>
      <w:bookmarkStart w:id="0" w:name="_GoBack"/>
      <w:bookmarkEnd w:id="0"/>
    </w:p>
    <w:p w14:paraId="23973864" w14:textId="632F4564" w:rsidR="000606CB" w:rsidRDefault="000606CB" w:rsidP="00564A09">
      <w:pPr>
        <w:ind w:firstLine="0"/>
        <w:jc w:val="center"/>
      </w:pPr>
      <w:r>
        <w:lastRenderedPageBreak/>
        <w:t>References</w:t>
      </w:r>
    </w:p>
    <w:p w14:paraId="7F750FF6" w14:textId="00FBE679" w:rsidR="000606CB" w:rsidRDefault="000606CB" w:rsidP="000606CB">
      <w:pPr>
        <w:ind w:firstLine="0"/>
        <w:rPr>
          <w:rFonts w:ascii="Arial" w:hAnsi="Arial" w:cs="Arial"/>
          <w:color w:val="222222"/>
          <w:sz w:val="20"/>
          <w:szCs w:val="20"/>
          <w:shd w:val="clear" w:color="auto" w:fill="FFFFFF"/>
        </w:rPr>
      </w:pPr>
      <w:r>
        <w:rPr>
          <w:rFonts w:ascii="Arial" w:hAnsi="Arial" w:cs="Arial"/>
          <w:color w:val="222222"/>
          <w:sz w:val="20"/>
          <w:szCs w:val="20"/>
          <w:shd w:val="clear" w:color="auto" w:fill="FFFFFF"/>
        </w:rPr>
        <w:t>Miller, R. L. (2016). </w:t>
      </w:r>
      <w:r>
        <w:rPr>
          <w:rFonts w:ascii="Arial" w:hAnsi="Arial" w:cs="Arial"/>
          <w:i/>
          <w:iCs/>
          <w:color w:val="222222"/>
          <w:sz w:val="20"/>
          <w:szCs w:val="20"/>
          <w:shd w:val="clear" w:color="auto" w:fill="FFFFFF"/>
        </w:rPr>
        <w:t>Business Law Today, Comprehensive</w:t>
      </w:r>
      <w:r>
        <w:rPr>
          <w:rFonts w:ascii="Arial" w:hAnsi="Arial" w:cs="Arial"/>
          <w:color w:val="222222"/>
          <w:sz w:val="20"/>
          <w:szCs w:val="20"/>
          <w:shd w:val="clear" w:color="auto" w:fill="FFFFFF"/>
        </w:rPr>
        <w:t>. Cengage learning.</w:t>
      </w:r>
    </w:p>
    <w:p w14:paraId="5AC56A7A" w14:textId="6445A7E4" w:rsidR="000606CB" w:rsidRDefault="000606CB" w:rsidP="000606CB">
      <w:pPr>
        <w:ind w:firstLine="0"/>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Honigsberg</w:t>
      </w:r>
      <w:proofErr w:type="spellEnd"/>
      <w:r>
        <w:rPr>
          <w:rFonts w:ascii="Arial" w:hAnsi="Arial" w:cs="Arial"/>
          <w:color w:val="222222"/>
          <w:sz w:val="20"/>
          <w:szCs w:val="20"/>
          <w:shd w:val="clear" w:color="auto" w:fill="FFFFFF"/>
        </w:rPr>
        <w:t>, C., &amp; Jackson Jr, R. J. (2019). The Many Modern Sources of Business Law. </w:t>
      </w:r>
      <w:r>
        <w:rPr>
          <w:rFonts w:ascii="Arial" w:hAnsi="Arial" w:cs="Arial"/>
          <w:i/>
          <w:iCs/>
          <w:color w:val="222222"/>
          <w:sz w:val="20"/>
          <w:szCs w:val="20"/>
          <w:shd w:val="clear" w:color="auto" w:fill="FFFFFF"/>
        </w:rPr>
        <w:t>The Corporate Contract in Changing Times: Is the Law Keeping Up?</w:t>
      </w:r>
      <w:r>
        <w:rPr>
          <w:rFonts w:ascii="Arial" w:hAnsi="Arial" w:cs="Arial"/>
          <w:color w:val="222222"/>
          <w:sz w:val="20"/>
          <w:szCs w:val="20"/>
          <w:shd w:val="clear" w:color="auto" w:fill="FFFFFF"/>
        </w:rPr>
        <w:t>, 206.</w:t>
      </w:r>
      <w:r>
        <w:rPr>
          <w:rFonts w:ascii="Arial" w:hAnsi="Arial" w:cs="Arial"/>
          <w:color w:val="222222"/>
          <w:sz w:val="20"/>
          <w:szCs w:val="20"/>
          <w:shd w:val="clear" w:color="auto" w:fill="FFFFFF"/>
        </w:rPr>
        <w:t>v</w:t>
      </w:r>
    </w:p>
    <w:p w14:paraId="5F46B942" w14:textId="2A9733A6" w:rsidR="000606CB" w:rsidRDefault="000606CB" w:rsidP="000606CB">
      <w:pPr>
        <w:ind w:firstLine="0"/>
        <w:rPr>
          <w:rFonts w:ascii="Arial" w:hAnsi="Arial" w:cs="Arial"/>
          <w:color w:val="222222"/>
          <w:sz w:val="20"/>
          <w:szCs w:val="20"/>
          <w:shd w:val="clear" w:color="auto" w:fill="FFFFFF"/>
        </w:rPr>
      </w:pPr>
      <w:r>
        <w:rPr>
          <w:rFonts w:ascii="Arial" w:hAnsi="Arial" w:cs="Arial"/>
          <w:color w:val="222222"/>
          <w:sz w:val="20"/>
          <w:szCs w:val="20"/>
          <w:shd w:val="clear" w:color="auto" w:fill="FFFFFF"/>
        </w:rPr>
        <w:t>O'Brien, C. N., Powers, R. E., &amp; Wesner, T. (2018). Benchmarking and Accreditation Goals Support the Value of an Undergraduate Business Law Core Course.</w:t>
      </w:r>
    </w:p>
    <w:p w14:paraId="05A5298C" w14:textId="5F950434" w:rsidR="000606CB" w:rsidRDefault="000606CB" w:rsidP="000606CB">
      <w:pPr>
        <w:ind w:firstLine="0"/>
      </w:pPr>
      <w:r>
        <w:rPr>
          <w:rFonts w:ascii="Arial" w:hAnsi="Arial" w:cs="Arial"/>
          <w:color w:val="222222"/>
          <w:sz w:val="20"/>
          <w:szCs w:val="20"/>
          <w:shd w:val="clear" w:color="auto" w:fill="FFFFFF"/>
        </w:rPr>
        <w:t>Twomey, D. P., Jennings, M. M., &amp; Greene, S. M. (2016). </w:t>
      </w:r>
      <w:r>
        <w:rPr>
          <w:rFonts w:ascii="Arial" w:hAnsi="Arial" w:cs="Arial"/>
          <w:i/>
          <w:iCs/>
          <w:color w:val="222222"/>
          <w:sz w:val="20"/>
          <w:szCs w:val="20"/>
          <w:shd w:val="clear" w:color="auto" w:fill="FFFFFF"/>
        </w:rPr>
        <w:t>Anderson's Business Law and the Legal Environment, Comprehensive Volume</w:t>
      </w:r>
      <w:r>
        <w:rPr>
          <w:rFonts w:ascii="Arial" w:hAnsi="Arial" w:cs="Arial"/>
          <w:color w:val="222222"/>
          <w:sz w:val="20"/>
          <w:szCs w:val="20"/>
          <w:shd w:val="clear" w:color="auto" w:fill="FFFFFF"/>
        </w:rPr>
        <w:t>. Nelson Education.</w:t>
      </w:r>
    </w:p>
    <w:sectPr w:rsidR="000606CB" w:rsidSect="00564A0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921523" w14:textId="77777777" w:rsidR="0005155F" w:rsidRDefault="0005155F" w:rsidP="00564A09">
      <w:pPr>
        <w:spacing w:line="240" w:lineRule="auto"/>
      </w:pPr>
      <w:r>
        <w:separator/>
      </w:r>
    </w:p>
  </w:endnote>
  <w:endnote w:type="continuationSeparator" w:id="0">
    <w:p w14:paraId="3085A8B4" w14:textId="77777777" w:rsidR="0005155F" w:rsidRDefault="0005155F" w:rsidP="00564A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6CFB5D" w14:textId="77777777" w:rsidR="0005155F" w:rsidRDefault="0005155F" w:rsidP="00564A09">
      <w:pPr>
        <w:spacing w:line="240" w:lineRule="auto"/>
      </w:pPr>
      <w:r>
        <w:separator/>
      </w:r>
    </w:p>
  </w:footnote>
  <w:footnote w:type="continuationSeparator" w:id="0">
    <w:p w14:paraId="76B8B943" w14:textId="77777777" w:rsidR="0005155F" w:rsidRDefault="0005155F" w:rsidP="00564A0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2B0262" w14:textId="066FEEC1" w:rsidR="00564A09" w:rsidRDefault="00564A09">
    <w:pPr>
      <w:pStyle w:val="Header"/>
      <w:jc w:val="right"/>
    </w:pPr>
    <w:r>
      <w:t xml:space="preserve">Business Law </w:t>
    </w:r>
    <w:r>
      <w:tab/>
    </w:r>
    <w:r>
      <w:tab/>
    </w:r>
    <w:sdt>
      <w:sdtPr>
        <w:id w:val="-14896383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8BB5A70" w14:textId="77777777" w:rsidR="00564A09" w:rsidRDefault="00564A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7644523"/>
      <w:docPartObj>
        <w:docPartGallery w:val="Page Numbers (Top of Page)"/>
        <w:docPartUnique/>
      </w:docPartObj>
    </w:sdtPr>
    <w:sdtEndPr>
      <w:rPr>
        <w:noProof/>
      </w:rPr>
    </w:sdtEndPr>
    <w:sdtContent>
      <w:p w14:paraId="1D1BEFAE" w14:textId="0544E3A4" w:rsidR="00564A09" w:rsidRDefault="00564A0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2ADCA3D" w14:textId="77777777" w:rsidR="00564A09" w:rsidRDefault="00564A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0480B"/>
    <w:multiLevelType w:val="hybridMultilevel"/>
    <w:tmpl w:val="42AE95C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BD0AB3"/>
    <w:multiLevelType w:val="hybridMultilevel"/>
    <w:tmpl w:val="3E327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22E"/>
    <w:rsid w:val="0005155F"/>
    <w:rsid w:val="000606CB"/>
    <w:rsid w:val="004E6F74"/>
    <w:rsid w:val="00564A09"/>
    <w:rsid w:val="005A0421"/>
    <w:rsid w:val="005B222E"/>
    <w:rsid w:val="00647F3A"/>
    <w:rsid w:val="00764B08"/>
    <w:rsid w:val="00780F32"/>
    <w:rsid w:val="009E37DA"/>
    <w:rsid w:val="00E6738D"/>
    <w:rsid w:val="00EB3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B20AE"/>
  <w15:chartTrackingRefBased/>
  <w15:docId w15:val="{785C5790-72D1-409B-AEFB-6FD544CA3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222E"/>
    <w:pPr>
      <w:ind w:left="720"/>
      <w:contextualSpacing/>
    </w:pPr>
  </w:style>
  <w:style w:type="paragraph" w:styleId="Header">
    <w:name w:val="header"/>
    <w:basedOn w:val="Normal"/>
    <w:link w:val="HeaderChar"/>
    <w:uiPriority w:val="99"/>
    <w:unhideWhenUsed/>
    <w:rsid w:val="00564A09"/>
    <w:pPr>
      <w:tabs>
        <w:tab w:val="center" w:pos="4680"/>
        <w:tab w:val="right" w:pos="9360"/>
      </w:tabs>
      <w:spacing w:line="240" w:lineRule="auto"/>
    </w:pPr>
  </w:style>
  <w:style w:type="character" w:customStyle="1" w:styleId="HeaderChar">
    <w:name w:val="Header Char"/>
    <w:basedOn w:val="DefaultParagraphFont"/>
    <w:link w:val="Header"/>
    <w:uiPriority w:val="99"/>
    <w:rsid w:val="00564A09"/>
  </w:style>
  <w:style w:type="paragraph" w:styleId="Footer">
    <w:name w:val="footer"/>
    <w:basedOn w:val="Normal"/>
    <w:link w:val="FooterChar"/>
    <w:uiPriority w:val="99"/>
    <w:unhideWhenUsed/>
    <w:rsid w:val="00564A09"/>
    <w:pPr>
      <w:tabs>
        <w:tab w:val="center" w:pos="4680"/>
        <w:tab w:val="right" w:pos="9360"/>
      </w:tabs>
      <w:spacing w:line="240" w:lineRule="auto"/>
    </w:pPr>
  </w:style>
  <w:style w:type="character" w:customStyle="1" w:styleId="FooterChar">
    <w:name w:val="Footer Char"/>
    <w:basedOn w:val="DefaultParagraphFont"/>
    <w:link w:val="Footer"/>
    <w:uiPriority w:val="99"/>
    <w:rsid w:val="00564A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5</Pages>
  <Words>835</Words>
  <Characters>4764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Deno</dc:creator>
  <cp:keywords/>
  <dc:description/>
  <cp:lastModifiedBy>Deno</cp:lastModifiedBy>
  <cp:revision>4</cp:revision>
  <dcterms:created xsi:type="dcterms:W3CDTF">2020-04-30T18:04:00Z</dcterms:created>
  <dcterms:modified xsi:type="dcterms:W3CDTF">2020-04-30T19:31:00Z</dcterms:modified>
</cp:coreProperties>
</file>