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116" w:rsidRPr="00D74116" w:rsidRDefault="00083E59" w:rsidP="00D74116">
      <w:pPr>
        <w:spacing w:after="0" w:line="480" w:lineRule="auto"/>
        <w:rPr>
          <w:rFonts w:ascii="Times New Roman" w:hAnsi="Times New Roman" w:cs="Times New Roman"/>
          <w:sz w:val="24"/>
          <w:szCs w:val="24"/>
        </w:rPr>
      </w:pPr>
      <w:r w:rsidRPr="00D74116">
        <w:rPr>
          <w:rFonts w:ascii="Times New Roman" w:hAnsi="Times New Roman" w:cs="Times New Roman"/>
          <w:sz w:val="24"/>
          <w:szCs w:val="24"/>
        </w:rPr>
        <w:t>Student’s Name</w:t>
      </w:r>
    </w:p>
    <w:p w:rsidR="00D74116" w:rsidRPr="00D74116" w:rsidRDefault="00083E59" w:rsidP="00D74116">
      <w:pPr>
        <w:spacing w:after="0" w:line="480" w:lineRule="auto"/>
        <w:rPr>
          <w:rFonts w:ascii="Times New Roman" w:hAnsi="Times New Roman" w:cs="Times New Roman"/>
          <w:sz w:val="24"/>
          <w:szCs w:val="24"/>
        </w:rPr>
      </w:pPr>
      <w:r w:rsidRPr="00D74116">
        <w:rPr>
          <w:rFonts w:ascii="Times New Roman" w:hAnsi="Times New Roman" w:cs="Times New Roman"/>
          <w:sz w:val="24"/>
          <w:szCs w:val="24"/>
        </w:rPr>
        <w:t>Instructor’s Name</w:t>
      </w:r>
      <w:bookmarkStart w:id="0" w:name="_GoBack"/>
      <w:bookmarkEnd w:id="0"/>
    </w:p>
    <w:p w:rsidR="00D74116" w:rsidRPr="00D74116" w:rsidRDefault="00083E59" w:rsidP="00D74116">
      <w:pPr>
        <w:spacing w:after="0" w:line="480" w:lineRule="auto"/>
        <w:rPr>
          <w:rFonts w:ascii="Times New Roman" w:hAnsi="Times New Roman" w:cs="Times New Roman"/>
          <w:sz w:val="24"/>
          <w:szCs w:val="24"/>
        </w:rPr>
      </w:pPr>
      <w:r w:rsidRPr="00D74116">
        <w:rPr>
          <w:rFonts w:ascii="Times New Roman" w:hAnsi="Times New Roman" w:cs="Times New Roman"/>
          <w:sz w:val="24"/>
          <w:szCs w:val="24"/>
        </w:rPr>
        <w:t>Course Details</w:t>
      </w:r>
    </w:p>
    <w:p w:rsidR="00D74116" w:rsidRPr="00D74116" w:rsidRDefault="00083E59" w:rsidP="00D74116">
      <w:pPr>
        <w:spacing w:after="0" w:line="480" w:lineRule="auto"/>
        <w:rPr>
          <w:rFonts w:ascii="Times New Roman" w:hAnsi="Times New Roman" w:cs="Times New Roman"/>
          <w:sz w:val="24"/>
          <w:szCs w:val="24"/>
        </w:rPr>
      </w:pPr>
      <w:r w:rsidRPr="00D74116">
        <w:rPr>
          <w:rFonts w:ascii="Times New Roman" w:hAnsi="Times New Roman" w:cs="Times New Roman"/>
          <w:sz w:val="24"/>
          <w:szCs w:val="24"/>
        </w:rPr>
        <w:t>Date</w:t>
      </w:r>
    </w:p>
    <w:p w:rsidR="00B80CEF" w:rsidRDefault="00B80CEF" w:rsidP="00B80CE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Groupthink</w:t>
      </w:r>
    </w:p>
    <w:p w:rsidR="00BA4C31"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 xml:space="preserve">In “The Ones </w:t>
      </w:r>
      <w:r w:rsidR="00B80CEF" w:rsidRPr="00D74116">
        <w:rPr>
          <w:rFonts w:ascii="Times New Roman" w:hAnsi="Times New Roman" w:cs="Times New Roman"/>
          <w:sz w:val="24"/>
          <w:szCs w:val="24"/>
        </w:rPr>
        <w:t>Who</w:t>
      </w:r>
      <w:r w:rsidRPr="00D74116">
        <w:rPr>
          <w:rFonts w:ascii="Times New Roman" w:hAnsi="Times New Roman" w:cs="Times New Roman"/>
          <w:sz w:val="24"/>
          <w:szCs w:val="24"/>
        </w:rPr>
        <w:t xml:space="preserve"> Walk Away from the Omelas</w:t>
      </w:r>
      <w:r w:rsidRPr="00D74116">
        <w:rPr>
          <w:rFonts w:ascii="Times New Roman" w:hAnsi="Times New Roman" w:cs="Times New Roman"/>
          <w:sz w:val="24"/>
          <w:szCs w:val="24"/>
        </w:rPr>
        <w:t>" and "The Lottery," the authors make use of groupthink to elucidate some of the essential themes. The term groupthink describes a psychological phenomenon that describes aspiration by a group o people to demonstrate cohesion in a group such that their dec</w:t>
      </w:r>
      <w:r w:rsidRPr="00D74116">
        <w:rPr>
          <w:rFonts w:ascii="Times New Roman" w:hAnsi="Times New Roman" w:cs="Times New Roman"/>
          <w:sz w:val="24"/>
          <w:szCs w:val="24"/>
        </w:rPr>
        <w:t>ision-making grows to become dysfunctional. The members involved always seek consensus and conformity with a low tolerance for any form of disagreement or conflict, which effectively limits their options. The lack of full comprehension of situations in suc</w:t>
      </w:r>
      <w:r w:rsidRPr="00D74116">
        <w:rPr>
          <w:rFonts w:ascii="Times New Roman" w:hAnsi="Times New Roman" w:cs="Times New Roman"/>
          <w:sz w:val="24"/>
          <w:szCs w:val="24"/>
        </w:rPr>
        <w:t xml:space="preserve">h a set-up is exhausting, and utilizing multiple perspectives to ascertain the decision arrived at is the proper one. The short stories highlighted above demonstrate the same manner of group logic, which overrides the value.  </w:t>
      </w:r>
    </w:p>
    <w:p w:rsidR="002622B2"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Shirley Jackson is the author</w:t>
      </w:r>
      <w:r w:rsidRPr="00D74116">
        <w:rPr>
          <w:rFonts w:ascii="Times New Roman" w:hAnsi="Times New Roman" w:cs="Times New Roman"/>
          <w:sz w:val="24"/>
          <w:szCs w:val="24"/>
        </w:rPr>
        <w:t xml:space="preserve"> of "The Lottery," where she presents the concept of an arbitrary modern community in fiction. The city's cohesion in the fictional story satisfies a calendar ritual by stoning one of them in participation. The plot is not logical, making it more unbelieva</w:t>
      </w:r>
      <w:r w:rsidRPr="00D74116">
        <w:rPr>
          <w:rFonts w:ascii="Times New Roman" w:hAnsi="Times New Roman" w:cs="Times New Roman"/>
          <w:sz w:val="24"/>
          <w:szCs w:val="24"/>
        </w:rPr>
        <w:t xml:space="preserve">ble that the community engaged in this ritual each year. The main square hosts the function in an American society, not identified by the author. </w:t>
      </w:r>
      <w:r w:rsidR="00B81F0F" w:rsidRPr="00D74116">
        <w:rPr>
          <w:rFonts w:ascii="Times New Roman" w:hAnsi="Times New Roman" w:cs="Times New Roman"/>
          <w:sz w:val="24"/>
          <w:szCs w:val="24"/>
        </w:rPr>
        <w:t xml:space="preserve">One symptom of the concept of groupthink in the short story is uniformity. Out of fear for standing out or challenging the status quo, every member of the community tends not to speak of their reservations about the ritual. </w:t>
      </w:r>
    </w:p>
    <w:p w:rsidR="00C654E5"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One such example is the conversation between Mr. and Mrs. Adams with old Old Man Warner, where the former two voice their concerns as inquisi</w:t>
      </w:r>
      <w:r w:rsidRPr="00D74116">
        <w:rPr>
          <w:rFonts w:ascii="Times New Roman" w:hAnsi="Times New Roman" w:cs="Times New Roman"/>
          <w:sz w:val="24"/>
          <w:szCs w:val="24"/>
        </w:rPr>
        <w:t>tions (</w:t>
      </w:r>
      <w:r w:rsidR="00D74116" w:rsidRPr="00D74116">
        <w:rPr>
          <w:rFonts w:ascii="Times New Roman" w:hAnsi="Times New Roman" w:cs="Times New Roman"/>
          <w:sz w:val="24"/>
          <w:szCs w:val="24"/>
        </w:rPr>
        <w:t>Jackson</w:t>
      </w:r>
      <w:r w:rsidRPr="00D74116">
        <w:rPr>
          <w:rFonts w:ascii="Times New Roman" w:hAnsi="Times New Roman" w:cs="Times New Roman"/>
          <w:sz w:val="24"/>
          <w:szCs w:val="24"/>
        </w:rPr>
        <w:t xml:space="preserve">, pg 4). </w:t>
      </w:r>
      <w:r w:rsidR="002622B2" w:rsidRPr="00D74116">
        <w:rPr>
          <w:rFonts w:ascii="Times New Roman" w:hAnsi="Times New Roman" w:cs="Times New Roman"/>
          <w:sz w:val="24"/>
          <w:szCs w:val="24"/>
        </w:rPr>
        <w:t xml:space="preserve">Additional </w:t>
      </w:r>
      <w:r w:rsidR="002622B2" w:rsidRPr="00D74116">
        <w:rPr>
          <w:rFonts w:ascii="Times New Roman" w:hAnsi="Times New Roman" w:cs="Times New Roman"/>
          <w:sz w:val="24"/>
          <w:szCs w:val="24"/>
        </w:rPr>
        <w:lastRenderedPageBreak/>
        <w:t>evidence is closed-mindedness. The same conversation highlighted above ends in old man Warner shrugging off the latter's concern without considering the logic behind it. Moreover, Mr. Summers is not successful in convincing the community to replace the box since the current one is too shabby. The response to such a suggestion is not to mess with tradition, even though it is not the original box.</w:t>
      </w:r>
    </w:p>
    <w:p w:rsidR="002622B2"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 xml:space="preserve">The candidate leading the annual ritual exhibits an authoritarian type of rule </w:t>
      </w:r>
      <w:r w:rsidRPr="00D74116">
        <w:rPr>
          <w:rFonts w:ascii="Times New Roman" w:hAnsi="Times New Roman" w:cs="Times New Roman"/>
          <w:sz w:val="24"/>
          <w:szCs w:val="24"/>
        </w:rPr>
        <w:t>whereby the voice and opinions of the rest do not have significance. The book does not provide any democratic process y which Mr. Summers gains his position, or can be deposed from it. Moreover, the leadership structure allows the entire community to assum</w:t>
      </w:r>
      <w:r w:rsidRPr="00D74116">
        <w:rPr>
          <w:rFonts w:ascii="Times New Roman" w:hAnsi="Times New Roman" w:cs="Times New Roman"/>
          <w:sz w:val="24"/>
          <w:szCs w:val="24"/>
        </w:rPr>
        <w:t>e Tessie's concerns about the fairness of the proceedings</w:t>
      </w:r>
      <w:r w:rsidR="009F5E0A" w:rsidRPr="00D74116">
        <w:rPr>
          <w:rFonts w:ascii="Times New Roman" w:hAnsi="Times New Roman" w:cs="Times New Roman"/>
          <w:sz w:val="24"/>
          <w:szCs w:val="24"/>
        </w:rPr>
        <w:t xml:space="preserve"> (</w:t>
      </w:r>
      <w:r w:rsidR="00D74116" w:rsidRPr="00D74116">
        <w:rPr>
          <w:rFonts w:ascii="Times New Roman" w:hAnsi="Times New Roman" w:cs="Times New Roman"/>
          <w:sz w:val="24"/>
          <w:szCs w:val="24"/>
        </w:rPr>
        <w:t>Jackson</w:t>
      </w:r>
      <w:r w:rsidR="009F5E0A" w:rsidRPr="00D74116">
        <w:rPr>
          <w:rFonts w:ascii="Times New Roman" w:hAnsi="Times New Roman" w:cs="Times New Roman"/>
          <w:sz w:val="24"/>
          <w:szCs w:val="24"/>
        </w:rPr>
        <w:t>, pg 5)</w:t>
      </w:r>
      <w:r w:rsidRPr="00D74116">
        <w:rPr>
          <w:rFonts w:ascii="Times New Roman" w:hAnsi="Times New Roman" w:cs="Times New Roman"/>
          <w:sz w:val="24"/>
          <w:szCs w:val="24"/>
        </w:rPr>
        <w:t xml:space="preserve">. </w:t>
      </w:r>
      <w:r w:rsidR="009F5E0A" w:rsidRPr="00D74116">
        <w:rPr>
          <w:rFonts w:ascii="Times New Roman" w:hAnsi="Times New Roman" w:cs="Times New Roman"/>
          <w:sz w:val="24"/>
          <w:szCs w:val="24"/>
        </w:rPr>
        <w:t xml:space="preserve">Tessie's contribution leads to harsh and stern remarks from other members of the community who do not take kindly to her insinuation. There is also a girl in the crowd who whispers, "I hope it's not Nancy (Jackson, pg 6)." Despite the entire community hearing her silent prayer, no one intervenes to save Nancy, a twelve-year-old girl, from such a fate. Such an authoritarian leadership structure involves following order without any significant input. That explains why it makes it possible for groupthink to flourish.  </w:t>
      </w:r>
    </w:p>
    <w:p w:rsidR="00E90E0B"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Groupthink limits one's options and inhibits the recognition of problems in society to warrant creative solutions to such challenges. Despite Tessie's complaints, she stil</w:t>
      </w:r>
      <w:r w:rsidRPr="00D74116">
        <w:rPr>
          <w:rFonts w:ascii="Times New Roman" w:hAnsi="Times New Roman" w:cs="Times New Roman"/>
          <w:sz w:val="24"/>
          <w:szCs w:val="24"/>
        </w:rPr>
        <w:t>l participates in the ritual that she is against. Additionally, Mr. Summers reiterates the need for everyone to participate, even placing the mantle of one absentee down to one of her daughters. The author describes the location as having a small populatio</w:t>
      </w:r>
      <w:r w:rsidRPr="00D74116">
        <w:rPr>
          <w:rFonts w:ascii="Times New Roman" w:hAnsi="Times New Roman" w:cs="Times New Roman"/>
          <w:sz w:val="24"/>
          <w:szCs w:val="24"/>
        </w:rPr>
        <w:t>n; hence there is a significant problem in the community where their annual ritual involves risking a person's life. Groupthink, therefore, limits both problem identification and problem-solving</w:t>
      </w:r>
      <w:r w:rsidR="00194323" w:rsidRPr="00D74116">
        <w:rPr>
          <w:rFonts w:ascii="Times New Roman" w:hAnsi="Times New Roman" w:cs="Times New Roman"/>
          <w:sz w:val="24"/>
          <w:szCs w:val="24"/>
        </w:rPr>
        <w:t xml:space="preserve"> (Derrick, pg 162)</w:t>
      </w:r>
      <w:r w:rsidRPr="00D74116">
        <w:rPr>
          <w:rFonts w:ascii="Times New Roman" w:hAnsi="Times New Roman" w:cs="Times New Roman"/>
          <w:sz w:val="24"/>
          <w:szCs w:val="24"/>
        </w:rPr>
        <w:t xml:space="preserve">. </w:t>
      </w:r>
    </w:p>
    <w:p w:rsidR="006B36EA"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lastRenderedPageBreak/>
        <w:t>In the short story “The Ones who Walk Awa</w:t>
      </w:r>
      <w:r w:rsidRPr="00D74116">
        <w:rPr>
          <w:rFonts w:ascii="Times New Roman" w:hAnsi="Times New Roman" w:cs="Times New Roman"/>
          <w:sz w:val="24"/>
          <w:szCs w:val="24"/>
        </w:rPr>
        <w:t>y from the Omelas” by Ursula Le Guin, the pivotal point of focus in the tale is that the community highly relies on the suffering of one. The author introduces a seemingly perfect society full of happiness in various diverse forms. The structure of the pre</w:t>
      </w:r>
      <w:r w:rsidRPr="00D74116">
        <w:rPr>
          <w:rFonts w:ascii="Times New Roman" w:hAnsi="Times New Roman" w:cs="Times New Roman"/>
          <w:sz w:val="24"/>
          <w:szCs w:val="24"/>
        </w:rPr>
        <w:t>sentation by the author first introduces the town as seemingly perfect before exposing the reader to the cost of such merriment. In one of the town's basement is a young child living in an enclosed space with no doors and windows, whose misery fuels the jo</w:t>
      </w:r>
      <w:r w:rsidRPr="00D74116">
        <w:rPr>
          <w:rFonts w:ascii="Times New Roman" w:hAnsi="Times New Roman" w:cs="Times New Roman"/>
          <w:sz w:val="24"/>
          <w:szCs w:val="24"/>
        </w:rPr>
        <w:t>yous society presented</w:t>
      </w:r>
      <w:r w:rsidR="00D74116" w:rsidRPr="00D74116">
        <w:rPr>
          <w:rFonts w:ascii="Times New Roman" w:hAnsi="Times New Roman" w:cs="Times New Roman"/>
          <w:sz w:val="24"/>
          <w:szCs w:val="24"/>
        </w:rPr>
        <w:t xml:space="preserve"> (Le Guin, pg 25)</w:t>
      </w:r>
      <w:r w:rsidRPr="00D74116">
        <w:rPr>
          <w:rFonts w:ascii="Times New Roman" w:hAnsi="Times New Roman" w:cs="Times New Roman"/>
          <w:sz w:val="24"/>
          <w:szCs w:val="24"/>
        </w:rPr>
        <w:t>. In this scenario, the groupthink context is that almost everyone knows about the child, but no one is willing to do anything differently.</w:t>
      </w:r>
    </w:p>
    <w:p w:rsidR="00C654E5"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The author identifies the as happy but not unintelligent or naïve. Therefore,</w:t>
      </w:r>
      <w:r w:rsidRPr="00D74116">
        <w:rPr>
          <w:rFonts w:ascii="Times New Roman" w:hAnsi="Times New Roman" w:cs="Times New Roman"/>
          <w:sz w:val="24"/>
          <w:szCs w:val="24"/>
        </w:rPr>
        <w:t xml:space="preserve"> the community has an understanding of what is right or wrong, but they mostly operate on what is necessary and what isn’t. </w:t>
      </w:r>
      <w:r w:rsidR="00194323" w:rsidRPr="00D74116">
        <w:rPr>
          <w:rFonts w:ascii="Times New Roman" w:hAnsi="Times New Roman" w:cs="Times New Roman"/>
          <w:sz w:val="24"/>
          <w:szCs w:val="24"/>
        </w:rPr>
        <w:t xml:space="preserve">All </w:t>
      </w:r>
      <w:r w:rsidRPr="00D74116">
        <w:rPr>
          <w:rFonts w:ascii="Times New Roman" w:hAnsi="Times New Roman" w:cs="Times New Roman"/>
          <w:sz w:val="24"/>
          <w:szCs w:val="24"/>
        </w:rPr>
        <w:t xml:space="preserve">of the population the described location </w:t>
      </w:r>
      <w:r w:rsidR="00194323" w:rsidRPr="00D74116">
        <w:rPr>
          <w:rFonts w:ascii="Times New Roman" w:hAnsi="Times New Roman" w:cs="Times New Roman"/>
          <w:sz w:val="24"/>
          <w:szCs w:val="24"/>
        </w:rPr>
        <w:t xml:space="preserve">is </w:t>
      </w:r>
      <w:r w:rsidRPr="00D74116">
        <w:rPr>
          <w:rFonts w:ascii="Times New Roman" w:hAnsi="Times New Roman" w:cs="Times New Roman"/>
          <w:sz w:val="24"/>
          <w:szCs w:val="24"/>
        </w:rPr>
        <w:t xml:space="preserve">content in </w:t>
      </w:r>
      <w:r w:rsidR="00194323" w:rsidRPr="00D74116">
        <w:rPr>
          <w:rFonts w:ascii="Times New Roman" w:hAnsi="Times New Roman" w:cs="Times New Roman"/>
          <w:sz w:val="24"/>
          <w:szCs w:val="24"/>
        </w:rPr>
        <w:t xml:space="preserve">letting the child suffer and endure misery for the prosperity and joy of the rest. The author also ascribes to groupthink by highlighting in a dark tone those who chose to walk away because of the truth about the child. The use of dark tone serves as deterrence from the accepted norm. Le Guin also ascertains that even the population that does not understand the reason for the child to be locked up know that it is necessary to retain the beauty and nature of their city.  </w:t>
      </w:r>
    </w:p>
    <w:p w:rsidR="00194323" w:rsidRPr="00D74116" w:rsidRDefault="00083E59" w:rsidP="00D74116">
      <w:pPr>
        <w:spacing w:after="0" w:line="480" w:lineRule="auto"/>
        <w:ind w:firstLine="720"/>
        <w:rPr>
          <w:rFonts w:ascii="Times New Roman" w:hAnsi="Times New Roman" w:cs="Times New Roman"/>
          <w:sz w:val="24"/>
          <w:szCs w:val="24"/>
        </w:rPr>
      </w:pPr>
      <w:r w:rsidRPr="00D74116">
        <w:rPr>
          <w:rFonts w:ascii="Times New Roman" w:hAnsi="Times New Roman" w:cs="Times New Roman"/>
          <w:sz w:val="24"/>
          <w:szCs w:val="24"/>
        </w:rPr>
        <w:t>Groupthink is also evident in the de</w:t>
      </w:r>
      <w:r w:rsidRPr="00D74116">
        <w:rPr>
          <w:rFonts w:ascii="Times New Roman" w:hAnsi="Times New Roman" w:cs="Times New Roman"/>
          <w:sz w:val="24"/>
          <w:szCs w:val="24"/>
        </w:rPr>
        <w:t>scription of the child. The author does not identify the child's gender but chooses to refer to using the term it. The underlying tactic serves to extricate any emotion from the people of the city with the child, which explains why even those who walked by</w:t>
      </w:r>
      <w:r w:rsidRPr="00D74116">
        <w:rPr>
          <w:rFonts w:ascii="Times New Roman" w:hAnsi="Times New Roman" w:cs="Times New Roman"/>
          <w:sz w:val="24"/>
          <w:szCs w:val="24"/>
        </w:rPr>
        <w:t xml:space="preserve"> did not stop to intervene. The short story presents a stark image of a potential ten-year-old boy who seems six, living in its excrement, never to be comforted or let out. Even those who feel horrible for the child still ascribe to groupthink, hug their c</w:t>
      </w:r>
      <w:r w:rsidRPr="00D74116">
        <w:rPr>
          <w:rFonts w:ascii="Times New Roman" w:hAnsi="Times New Roman" w:cs="Times New Roman"/>
          <w:sz w:val="24"/>
          <w:szCs w:val="24"/>
        </w:rPr>
        <w:t xml:space="preserve">hildren tighter, and go back to their merry ways (Brook, n.d.). </w:t>
      </w:r>
    </w:p>
    <w:p w:rsidR="00194323" w:rsidRPr="00D74116" w:rsidRDefault="00083E59" w:rsidP="00D74116">
      <w:pPr>
        <w:spacing w:after="0" w:line="480" w:lineRule="auto"/>
        <w:rPr>
          <w:rFonts w:ascii="Times New Roman" w:hAnsi="Times New Roman" w:cs="Times New Roman"/>
          <w:sz w:val="24"/>
          <w:szCs w:val="24"/>
        </w:rPr>
      </w:pPr>
      <w:r w:rsidRPr="00D74116">
        <w:rPr>
          <w:rFonts w:ascii="Times New Roman" w:hAnsi="Times New Roman" w:cs="Times New Roman"/>
          <w:sz w:val="24"/>
          <w:szCs w:val="24"/>
        </w:rPr>
        <w:lastRenderedPageBreak/>
        <w:br w:type="page"/>
      </w:r>
    </w:p>
    <w:p w:rsidR="00194323" w:rsidRPr="00D74116" w:rsidRDefault="00083E59" w:rsidP="00D74116">
      <w:pPr>
        <w:spacing w:after="0" w:line="480" w:lineRule="auto"/>
        <w:jc w:val="center"/>
        <w:rPr>
          <w:rFonts w:ascii="Times New Roman" w:hAnsi="Times New Roman" w:cs="Times New Roman"/>
          <w:sz w:val="24"/>
          <w:szCs w:val="24"/>
        </w:rPr>
      </w:pPr>
      <w:r w:rsidRPr="00D74116">
        <w:rPr>
          <w:rFonts w:ascii="Times New Roman" w:hAnsi="Times New Roman" w:cs="Times New Roman"/>
          <w:sz w:val="24"/>
          <w:szCs w:val="24"/>
        </w:rPr>
        <w:lastRenderedPageBreak/>
        <w:t>Work Cited</w:t>
      </w:r>
    </w:p>
    <w:p w:rsidR="00194323" w:rsidRPr="00D74116" w:rsidRDefault="00083E59" w:rsidP="00D74116">
      <w:pPr>
        <w:spacing w:after="0" w:line="480" w:lineRule="auto"/>
        <w:ind w:left="720" w:hanging="720"/>
        <w:rPr>
          <w:rFonts w:ascii="Times New Roman" w:hAnsi="Times New Roman" w:cs="Times New Roman"/>
          <w:color w:val="222222"/>
          <w:sz w:val="24"/>
          <w:szCs w:val="24"/>
          <w:shd w:val="clear" w:color="auto" w:fill="FFFFFF"/>
        </w:rPr>
      </w:pPr>
      <w:r w:rsidRPr="00D74116">
        <w:rPr>
          <w:rFonts w:ascii="Times New Roman" w:hAnsi="Times New Roman" w:cs="Times New Roman"/>
          <w:color w:val="222222"/>
          <w:sz w:val="24"/>
          <w:szCs w:val="24"/>
          <w:shd w:val="clear" w:color="auto" w:fill="FFFFFF"/>
        </w:rPr>
        <w:t xml:space="preserve">Brooks, David. “The Child in the Basement,” </w:t>
      </w:r>
      <w:r w:rsidRPr="00D74116">
        <w:rPr>
          <w:rFonts w:ascii="Times New Roman" w:hAnsi="Times New Roman" w:cs="Times New Roman"/>
          <w:i/>
          <w:color w:val="222222"/>
          <w:sz w:val="24"/>
          <w:szCs w:val="24"/>
          <w:shd w:val="clear" w:color="auto" w:fill="FFFFFF"/>
        </w:rPr>
        <w:t xml:space="preserve">The New York Times. </w:t>
      </w:r>
      <w:r w:rsidRPr="00D74116">
        <w:rPr>
          <w:rFonts w:ascii="Times New Roman" w:hAnsi="Times New Roman" w:cs="Times New Roman"/>
          <w:color w:val="222222"/>
          <w:sz w:val="24"/>
          <w:szCs w:val="24"/>
          <w:shd w:val="clear" w:color="auto" w:fill="FFFFFF"/>
        </w:rPr>
        <w:t>2015, January 12. https://www.nytimes.com/2015/01/13/opinion/david-brooks-the-child-in-the-basement.html?_r=0</w:t>
      </w:r>
    </w:p>
    <w:p w:rsidR="00D74116" w:rsidRPr="00D74116" w:rsidRDefault="00083E59" w:rsidP="00D74116">
      <w:pPr>
        <w:spacing w:after="0" w:line="480" w:lineRule="auto"/>
        <w:ind w:left="720" w:hanging="720"/>
        <w:rPr>
          <w:rFonts w:ascii="Times New Roman" w:hAnsi="Times New Roman" w:cs="Times New Roman"/>
          <w:color w:val="222222"/>
          <w:sz w:val="24"/>
          <w:szCs w:val="24"/>
          <w:shd w:val="clear" w:color="auto" w:fill="FFFFFF"/>
        </w:rPr>
      </w:pPr>
      <w:r w:rsidRPr="00D74116">
        <w:rPr>
          <w:rFonts w:ascii="Times New Roman" w:hAnsi="Times New Roman" w:cs="Times New Roman"/>
          <w:color w:val="222222"/>
          <w:sz w:val="24"/>
          <w:szCs w:val="24"/>
          <w:shd w:val="clear" w:color="auto" w:fill="FFFFFF"/>
        </w:rPr>
        <w:t>Derr</w:t>
      </w:r>
      <w:r w:rsidRPr="00D74116">
        <w:rPr>
          <w:rFonts w:ascii="Times New Roman" w:hAnsi="Times New Roman" w:cs="Times New Roman"/>
          <w:color w:val="222222"/>
          <w:sz w:val="24"/>
          <w:szCs w:val="24"/>
          <w:shd w:val="clear" w:color="auto" w:fill="FFFFFF"/>
        </w:rPr>
        <w:t>ick, Gemma. "Risking Groupthink in Impact Assessment." </w:t>
      </w:r>
      <w:r w:rsidRPr="00D74116">
        <w:rPr>
          <w:rFonts w:ascii="Times New Roman" w:hAnsi="Times New Roman" w:cs="Times New Roman"/>
          <w:i/>
          <w:iCs/>
          <w:color w:val="222222"/>
          <w:sz w:val="24"/>
          <w:szCs w:val="24"/>
          <w:shd w:val="clear" w:color="auto" w:fill="FFFFFF"/>
        </w:rPr>
        <w:t>The Evaluators’ Eye</w:t>
      </w:r>
      <w:r w:rsidRPr="00D74116">
        <w:rPr>
          <w:rFonts w:ascii="Times New Roman" w:hAnsi="Times New Roman" w:cs="Times New Roman"/>
          <w:color w:val="222222"/>
          <w:sz w:val="24"/>
          <w:szCs w:val="24"/>
          <w:shd w:val="clear" w:color="auto" w:fill="FFFFFF"/>
        </w:rPr>
        <w:t>. Palgrave Macmillan, Cham, 2018. 159-197.</w:t>
      </w:r>
    </w:p>
    <w:p w:rsidR="00D74116" w:rsidRPr="00D74116" w:rsidRDefault="00083E59" w:rsidP="00D74116">
      <w:pPr>
        <w:spacing w:after="0" w:line="480" w:lineRule="auto"/>
        <w:ind w:left="720" w:hanging="720"/>
        <w:rPr>
          <w:rFonts w:ascii="Times New Roman" w:hAnsi="Times New Roman" w:cs="Times New Roman"/>
          <w:color w:val="222222"/>
          <w:sz w:val="24"/>
          <w:szCs w:val="24"/>
          <w:shd w:val="clear" w:color="auto" w:fill="FFFFFF"/>
        </w:rPr>
      </w:pPr>
      <w:r w:rsidRPr="00D74116">
        <w:rPr>
          <w:rFonts w:ascii="Times New Roman" w:hAnsi="Times New Roman" w:cs="Times New Roman"/>
          <w:color w:val="222222"/>
          <w:sz w:val="24"/>
          <w:szCs w:val="24"/>
          <w:shd w:val="clear" w:color="auto" w:fill="FFFFFF"/>
        </w:rPr>
        <w:t>Jackson, Shirley. </w:t>
      </w:r>
      <w:r w:rsidRPr="00D74116">
        <w:rPr>
          <w:rFonts w:ascii="Times New Roman" w:hAnsi="Times New Roman" w:cs="Times New Roman"/>
          <w:i/>
          <w:iCs/>
          <w:color w:val="222222"/>
          <w:sz w:val="24"/>
          <w:szCs w:val="24"/>
          <w:shd w:val="clear" w:color="auto" w:fill="FFFFFF"/>
        </w:rPr>
        <w:t>The lottery and other stories</w:t>
      </w:r>
      <w:r w:rsidRPr="00D74116">
        <w:rPr>
          <w:rFonts w:ascii="Times New Roman" w:hAnsi="Times New Roman" w:cs="Times New Roman"/>
          <w:color w:val="222222"/>
          <w:sz w:val="24"/>
          <w:szCs w:val="24"/>
          <w:shd w:val="clear" w:color="auto" w:fill="FFFFFF"/>
        </w:rPr>
        <w:t xml:space="preserve">. MacMillan, 2005. </w:t>
      </w:r>
    </w:p>
    <w:p w:rsidR="00D74116" w:rsidRPr="00D74116" w:rsidRDefault="00083E59" w:rsidP="00D74116">
      <w:pPr>
        <w:spacing w:after="0" w:line="480" w:lineRule="auto"/>
        <w:ind w:left="720" w:hanging="720"/>
        <w:rPr>
          <w:rFonts w:ascii="Times New Roman" w:hAnsi="Times New Roman" w:cs="Times New Roman"/>
          <w:sz w:val="24"/>
          <w:szCs w:val="24"/>
        </w:rPr>
      </w:pPr>
      <w:r w:rsidRPr="00D74116">
        <w:rPr>
          <w:rFonts w:ascii="Times New Roman" w:hAnsi="Times New Roman" w:cs="Times New Roman"/>
          <w:color w:val="222222"/>
          <w:sz w:val="24"/>
          <w:szCs w:val="24"/>
          <w:shd w:val="clear" w:color="auto" w:fill="FFFFFF"/>
        </w:rPr>
        <w:t>Le Guin, Ursula K. "The ones who walk away from Omelas." </w:t>
      </w:r>
      <w:r w:rsidRPr="00D74116">
        <w:rPr>
          <w:rFonts w:ascii="Times New Roman" w:hAnsi="Times New Roman" w:cs="Times New Roman"/>
          <w:i/>
          <w:iCs/>
          <w:color w:val="222222"/>
          <w:sz w:val="24"/>
          <w:szCs w:val="24"/>
          <w:shd w:val="clear" w:color="auto" w:fill="FFFFFF"/>
        </w:rPr>
        <w:t>Evil and the hi</w:t>
      </w:r>
      <w:r w:rsidRPr="00D74116">
        <w:rPr>
          <w:rFonts w:ascii="Times New Roman" w:hAnsi="Times New Roman" w:cs="Times New Roman"/>
          <w:i/>
          <w:iCs/>
          <w:color w:val="222222"/>
          <w:sz w:val="24"/>
          <w:szCs w:val="24"/>
          <w:shd w:val="clear" w:color="auto" w:fill="FFFFFF"/>
        </w:rPr>
        <w:t>ddenness of God</w:t>
      </w:r>
      <w:r w:rsidRPr="00D74116">
        <w:rPr>
          <w:rFonts w:ascii="Times New Roman" w:hAnsi="Times New Roman" w:cs="Times New Roman"/>
          <w:color w:val="222222"/>
          <w:sz w:val="24"/>
          <w:szCs w:val="24"/>
          <w:shd w:val="clear" w:color="auto" w:fill="FFFFFF"/>
        </w:rPr>
        <w:t> (1973): 23-26.</w:t>
      </w:r>
    </w:p>
    <w:sectPr w:rsidR="00D74116" w:rsidRPr="00D74116" w:rsidSect="006763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E59" w:rsidRDefault="00083E59">
      <w:pPr>
        <w:spacing w:after="0" w:line="240" w:lineRule="auto"/>
      </w:pPr>
      <w:r>
        <w:separator/>
      </w:r>
    </w:p>
  </w:endnote>
  <w:endnote w:type="continuationSeparator" w:id="0">
    <w:p w:rsidR="00083E59" w:rsidRDefault="00083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E59" w:rsidRDefault="00083E59">
      <w:pPr>
        <w:spacing w:after="0" w:line="240" w:lineRule="auto"/>
      </w:pPr>
      <w:r>
        <w:separator/>
      </w:r>
    </w:p>
  </w:footnote>
  <w:footnote w:type="continuationSeparator" w:id="0">
    <w:p w:rsidR="00083E59" w:rsidRDefault="00083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116" w:rsidRPr="00B80CEF" w:rsidRDefault="00083E59">
    <w:pPr>
      <w:pStyle w:val="Header"/>
      <w:jc w:val="right"/>
      <w:rPr>
        <w:rFonts w:ascii="Times New Roman" w:hAnsi="Times New Roman" w:cs="Times New Roman"/>
        <w:sz w:val="24"/>
      </w:rPr>
    </w:pPr>
    <w:r w:rsidRPr="00B80CEF">
      <w:rPr>
        <w:rFonts w:ascii="Times New Roman" w:hAnsi="Times New Roman" w:cs="Times New Roman"/>
        <w:sz w:val="24"/>
      </w:rPr>
      <w:t xml:space="preserve">Surname </w:t>
    </w:r>
    <w:sdt>
      <w:sdtPr>
        <w:rPr>
          <w:rFonts w:ascii="Times New Roman" w:hAnsi="Times New Roman" w:cs="Times New Roman"/>
          <w:sz w:val="24"/>
        </w:rPr>
        <w:id w:val="72902188"/>
        <w:docPartObj>
          <w:docPartGallery w:val="Page Numbers (Top of Page)"/>
          <w:docPartUnique/>
        </w:docPartObj>
      </w:sdtPr>
      <w:sdtEndPr/>
      <w:sdtContent>
        <w:r w:rsidRPr="00B80CEF">
          <w:rPr>
            <w:rFonts w:ascii="Times New Roman" w:hAnsi="Times New Roman" w:cs="Times New Roman"/>
            <w:sz w:val="24"/>
          </w:rPr>
          <w:fldChar w:fldCharType="begin"/>
        </w:r>
        <w:r w:rsidRPr="00B80CEF">
          <w:rPr>
            <w:rFonts w:ascii="Times New Roman" w:hAnsi="Times New Roman" w:cs="Times New Roman"/>
            <w:sz w:val="24"/>
          </w:rPr>
          <w:instrText xml:space="preserve"> PAGE   \* MERGEFORMAT </w:instrText>
        </w:r>
        <w:r w:rsidRPr="00B80CEF">
          <w:rPr>
            <w:rFonts w:ascii="Times New Roman" w:hAnsi="Times New Roman" w:cs="Times New Roman"/>
            <w:sz w:val="24"/>
          </w:rPr>
          <w:fldChar w:fldCharType="separate"/>
        </w:r>
        <w:r w:rsidR="00B80CEF">
          <w:rPr>
            <w:rFonts w:ascii="Times New Roman" w:hAnsi="Times New Roman" w:cs="Times New Roman"/>
            <w:noProof/>
            <w:sz w:val="24"/>
          </w:rPr>
          <w:t>2</w:t>
        </w:r>
        <w:r w:rsidRPr="00B80CEF">
          <w:rPr>
            <w:rFonts w:ascii="Times New Roman" w:hAnsi="Times New Roman" w:cs="Times New Roman"/>
            <w:noProof/>
            <w:sz w:val="24"/>
          </w:rPr>
          <w:fldChar w:fldCharType="end"/>
        </w:r>
      </w:sdtContent>
    </w:sdt>
  </w:p>
  <w:p w:rsidR="00D74116" w:rsidRDefault="00D741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6EB6"/>
    <w:multiLevelType w:val="hybridMultilevel"/>
    <w:tmpl w:val="56CAD4DE"/>
    <w:lvl w:ilvl="0" w:tplc="72DA958E">
      <w:start w:val="6"/>
      <w:numFmt w:val="decimal"/>
      <w:lvlText w:val="%1)"/>
      <w:lvlJc w:val="left"/>
      <w:pPr>
        <w:ind w:left="734" w:hanging="360"/>
      </w:pPr>
      <w:rPr>
        <w:rFonts w:hint="default"/>
      </w:rPr>
    </w:lvl>
    <w:lvl w:ilvl="1" w:tplc="12FA434E" w:tentative="1">
      <w:start w:val="1"/>
      <w:numFmt w:val="lowerLetter"/>
      <w:lvlText w:val="%2."/>
      <w:lvlJc w:val="left"/>
      <w:pPr>
        <w:ind w:left="1454" w:hanging="360"/>
      </w:pPr>
    </w:lvl>
    <w:lvl w:ilvl="2" w:tplc="5212FB36" w:tentative="1">
      <w:start w:val="1"/>
      <w:numFmt w:val="lowerRoman"/>
      <w:lvlText w:val="%3."/>
      <w:lvlJc w:val="right"/>
      <w:pPr>
        <w:ind w:left="2174" w:hanging="180"/>
      </w:pPr>
    </w:lvl>
    <w:lvl w:ilvl="3" w:tplc="031A37DE" w:tentative="1">
      <w:start w:val="1"/>
      <w:numFmt w:val="decimal"/>
      <w:lvlText w:val="%4."/>
      <w:lvlJc w:val="left"/>
      <w:pPr>
        <w:ind w:left="2894" w:hanging="360"/>
      </w:pPr>
    </w:lvl>
    <w:lvl w:ilvl="4" w:tplc="9DD801EC" w:tentative="1">
      <w:start w:val="1"/>
      <w:numFmt w:val="lowerLetter"/>
      <w:lvlText w:val="%5."/>
      <w:lvlJc w:val="left"/>
      <w:pPr>
        <w:ind w:left="3614" w:hanging="360"/>
      </w:pPr>
    </w:lvl>
    <w:lvl w:ilvl="5" w:tplc="018252A6" w:tentative="1">
      <w:start w:val="1"/>
      <w:numFmt w:val="lowerRoman"/>
      <w:lvlText w:val="%6."/>
      <w:lvlJc w:val="right"/>
      <w:pPr>
        <w:ind w:left="4334" w:hanging="180"/>
      </w:pPr>
    </w:lvl>
    <w:lvl w:ilvl="6" w:tplc="14569004" w:tentative="1">
      <w:start w:val="1"/>
      <w:numFmt w:val="decimal"/>
      <w:lvlText w:val="%7."/>
      <w:lvlJc w:val="left"/>
      <w:pPr>
        <w:ind w:left="5054" w:hanging="360"/>
      </w:pPr>
    </w:lvl>
    <w:lvl w:ilvl="7" w:tplc="4FDC26B0" w:tentative="1">
      <w:start w:val="1"/>
      <w:numFmt w:val="lowerLetter"/>
      <w:lvlText w:val="%8."/>
      <w:lvlJc w:val="left"/>
      <w:pPr>
        <w:ind w:left="5774" w:hanging="360"/>
      </w:pPr>
    </w:lvl>
    <w:lvl w:ilvl="8" w:tplc="79763E22" w:tentative="1">
      <w:start w:val="1"/>
      <w:numFmt w:val="lowerRoman"/>
      <w:lvlText w:val="%9."/>
      <w:lvlJc w:val="right"/>
      <w:pPr>
        <w:ind w:left="6494" w:hanging="180"/>
      </w:pPr>
    </w:lvl>
  </w:abstractNum>
  <w:abstractNum w:abstractNumId="1" w15:restartNumberingAfterBreak="0">
    <w:nsid w:val="2A30404E"/>
    <w:multiLevelType w:val="hybridMultilevel"/>
    <w:tmpl w:val="D458F278"/>
    <w:lvl w:ilvl="0" w:tplc="F8EC2360">
      <w:start w:val="1"/>
      <w:numFmt w:val="decimal"/>
      <w:lvlText w:val="%1)"/>
      <w:lvlJc w:val="left"/>
      <w:pPr>
        <w:ind w:left="734" w:hanging="360"/>
      </w:pPr>
      <w:rPr>
        <w:rFonts w:hint="default"/>
      </w:rPr>
    </w:lvl>
    <w:lvl w:ilvl="1" w:tplc="A6048502" w:tentative="1">
      <w:start w:val="1"/>
      <w:numFmt w:val="lowerLetter"/>
      <w:lvlText w:val="%2."/>
      <w:lvlJc w:val="left"/>
      <w:pPr>
        <w:ind w:left="1454" w:hanging="360"/>
      </w:pPr>
    </w:lvl>
    <w:lvl w:ilvl="2" w:tplc="18CE1DF6" w:tentative="1">
      <w:start w:val="1"/>
      <w:numFmt w:val="lowerRoman"/>
      <w:lvlText w:val="%3."/>
      <w:lvlJc w:val="right"/>
      <w:pPr>
        <w:ind w:left="2174" w:hanging="180"/>
      </w:pPr>
    </w:lvl>
    <w:lvl w:ilvl="3" w:tplc="D446259E" w:tentative="1">
      <w:start w:val="1"/>
      <w:numFmt w:val="decimal"/>
      <w:lvlText w:val="%4."/>
      <w:lvlJc w:val="left"/>
      <w:pPr>
        <w:ind w:left="2894" w:hanging="360"/>
      </w:pPr>
    </w:lvl>
    <w:lvl w:ilvl="4" w:tplc="95D816D6" w:tentative="1">
      <w:start w:val="1"/>
      <w:numFmt w:val="lowerLetter"/>
      <w:lvlText w:val="%5."/>
      <w:lvlJc w:val="left"/>
      <w:pPr>
        <w:ind w:left="3614" w:hanging="360"/>
      </w:pPr>
    </w:lvl>
    <w:lvl w:ilvl="5" w:tplc="685C1996" w:tentative="1">
      <w:start w:val="1"/>
      <w:numFmt w:val="lowerRoman"/>
      <w:lvlText w:val="%6."/>
      <w:lvlJc w:val="right"/>
      <w:pPr>
        <w:ind w:left="4334" w:hanging="180"/>
      </w:pPr>
    </w:lvl>
    <w:lvl w:ilvl="6" w:tplc="DE18015A" w:tentative="1">
      <w:start w:val="1"/>
      <w:numFmt w:val="decimal"/>
      <w:lvlText w:val="%7."/>
      <w:lvlJc w:val="left"/>
      <w:pPr>
        <w:ind w:left="5054" w:hanging="360"/>
      </w:pPr>
    </w:lvl>
    <w:lvl w:ilvl="7" w:tplc="34A2AA3E" w:tentative="1">
      <w:start w:val="1"/>
      <w:numFmt w:val="lowerLetter"/>
      <w:lvlText w:val="%8."/>
      <w:lvlJc w:val="left"/>
      <w:pPr>
        <w:ind w:left="5774" w:hanging="360"/>
      </w:pPr>
    </w:lvl>
    <w:lvl w:ilvl="8" w:tplc="ADBC79A0" w:tentative="1">
      <w:start w:val="1"/>
      <w:numFmt w:val="lowerRoman"/>
      <w:lvlText w:val="%9."/>
      <w:lvlJc w:val="right"/>
      <w:pPr>
        <w:ind w:left="6494" w:hanging="180"/>
      </w:pPr>
    </w:lvl>
  </w:abstractNum>
  <w:abstractNum w:abstractNumId="2" w15:restartNumberingAfterBreak="0">
    <w:nsid w:val="59794BF6"/>
    <w:multiLevelType w:val="hybridMultilevel"/>
    <w:tmpl w:val="215E927A"/>
    <w:lvl w:ilvl="0" w:tplc="CB8C414C">
      <w:start w:val="3"/>
      <w:numFmt w:val="decimal"/>
      <w:lvlText w:val="%1)"/>
      <w:lvlJc w:val="left"/>
      <w:pPr>
        <w:ind w:left="734" w:hanging="360"/>
      </w:pPr>
      <w:rPr>
        <w:rFonts w:hint="default"/>
      </w:rPr>
    </w:lvl>
    <w:lvl w:ilvl="1" w:tplc="7FAE935E" w:tentative="1">
      <w:start w:val="1"/>
      <w:numFmt w:val="lowerLetter"/>
      <w:lvlText w:val="%2."/>
      <w:lvlJc w:val="left"/>
      <w:pPr>
        <w:ind w:left="1454" w:hanging="360"/>
      </w:pPr>
    </w:lvl>
    <w:lvl w:ilvl="2" w:tplc="FB3498FA" w:tentative="1">
      <w:start w:val="1"/>
      <w:numFmt w:val="lowerRoman"/>
      <w:lvlText w:val="%3."/>
      <w:lvlJc w:val="right"/>
      <w:pPr>
        <w:ind w:left="2174" w:hanging="180"/>
      </w:pPr>
    </w:lvl>
    <w:lvl w:ilvl="3" w:tplc="5E742430" w:tentative="1">
      <w:start w:val="1"/>
      <w:numFmt w:val="decimal"/>
      <w:lvlText w:val="%4."/>
      <w:lvlJc w:val="left"/>
      <w:pPr>
        <w:ind w:left="2894" w:hanging="360"/>
      </w:pPr>
    </w:lvl>
    <w:lvl w:ilvl="4" w:tplc="8DAC7442" w:tentative="1">
      <w:start w:val="1"/>
      <w:numFmt w:val="lowerLetter"/>
      <w:lvlText w:val="%5."/>
      <w:lvlJc w:val="left"/>
      <w:pPr>
        <w:ind w:left="3614" w:hanging="360"/>
      </w:pPr>
    </w:lvl>
    <w:lvl w:ilvl="5" w:tplc="AAD8AB76" w:tentative="1">
      <w:start w:val="1"/>
      <w:numFmt w:val="lowerRoman"/>
      <w:lvlText w:val="%6."/>
      <w:lvlJc w:val="right"/>
      <w:pPr>
        <w:ind w:left="4334" w:hanging="180"/>
      </w:pPr>
    </w:lvl>
    <w:lvl w:ilvl="6" w:tplc="6F162E52" w:tentative="1">
      <w:start w:val="1"/>
      <w:numFmt w:val="decimal"/>
      <w:lvlText w:val="%7."/>
      <w:lvlJc w:val="left"/>
      <w:pPr>
        <w:ind w:left="5054" w:hanging="360"/>
      </w:pPr>
    </w:lvl>
    <w:lvl w:ilvl="7" w:tplc="47D41234" w:tentative="1">
      <w:start w:val="1"/>
      <w:numFmt w:val="lowerLetter"/>
      <w:lvlText w:val="%8."/>
      <w:lvlJc w:val="left"/>
      <w:pPr>
        <w:ind w:left="5774" w:hanging="360"/>
      </w:pPr>
    </w:lvl>
    <w:lvl w:ilvl="8" w:tplc="B2922AF0" w:tentative="1">
      <w:start w:val="1"/>
      <w:numFmt w:val="lowerRoman"/>
      <w:lvlText w:val="%9."/>
      <w:lvlJc w:val="right"/>
      <w:pPr>
        <w:ind w:left="649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E5"/>
    <w:rsid w:val="00083E59"/>
    <w:rsid w:val="00194323"/>
    <w:rsid w:val="002622B2"/>
    <w:rsid w:val="00676349"/>
    <w:rsid w:val="006B36EA"/>
    <w:rsid w:val="00897C54"/>
    <w:rsid w:val="009F5E0A"/>
    <w:rsid w:val="00B80CEF"/>
    <w:rsid w:val="00B81F0F"/>
    <w:rsid w:val="00BA4C31"/>
    <w:rsid w:val="00C654E5"/>
    <w:rsid w:val="00D74116"/>
    <w:rsid w:val="00E90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6CF99"/>
  <w15:docId w15:val="{E9ED1EAD-676E-45E7-BDD2-119439E0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3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C654E5"/>
  </w:style>
  <w:style w:type="paragraph" w:styleId="ListParagraph">
    <w:name w:val="List Paragraph"/>
    <w:basedOn w:val="Normal"/>
    <w:uiPriority w:val="34"/>
    <w:qFormat/>
    <w:rsid w:val="00C654E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74116"/>
    <w:rPr>
      <w:color w:val="0000FF" w:themeColor="hyperlink"/>
      <w:u w:val="single"/>
    </w:rPr>
  </w:style>
  <w:style w:type="paragraph" w:styleId="Header">
    <w:name w:val="header"/>
    <w:basedOn w:val="Normal"/>
    <w:link w:val="HeaderChar"/>
    <w:uiPriority w:val="99"/>
    <w:unhideWhenUsed/>
    <w:rsid w:val="00D74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116"/>
  </w:style>
  <w:style w:type="paragraph" w:styleId="Footer">
    <w:name w:val="footer"/>
    <w:basedOn w:val="Normal"/>
    <w:link w:val="FooterChar"/>
    <w:uiPriority w:val="99"/>
    <w:unhideWhenUsed/>
    <w:rsid w:val="00D74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2020-07-01T05:47:00Z</dcterms:created>
  <dcterms:modified xsi:type="dcterms:W3CDTF">2020-07-01T05:47:00Z</dcterms:modified>
</cp:coreProperties>
</file>