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E61" w:rsidRDefault="00BB3E61" w:rsidP="00BB3E61"/>
    <w:p w:rsidR="00BB3E61" w:rsidRDefault="00BB3E61" w:rsidP="00BB3E61"/>
    <w:p w:rsidR="00BB3E61" w:rsidRDefault="00BB3E61" w:rsidP="00BB3E61"/>
    <w:p w:rsidR="00BB3E61" w:rsidRP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BB3E61" w:rsidRP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Institutional Affiliation</w:t>
      </w:r>
    </w:p>
    <w:p w:rsidR="00BB3E61" w:rsidRP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Professor’s Name</w:t>
      </w:r>
    </w:p>
    <w:p w:rsidR="00BB3E61" w:rsidRP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Student’s Name</w:t>
      </w:r>
    </w:p>
    <w:p w:rsidR="00BB3E61" w:rsidRPr="00BB3E61" w:rsidRDefault="00BB3E61" w:rsidP="00BB3E61">
      <w:pPr>
        <w:spacing w:line="480" w:lineRule="auto"/>
        <w:jc w:val="center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Date</w:t>
      </w:r>
    </w:p>
    <w:p w:rsidR="00BB3E61" w:rsidRPr="00BB3E61" w:rsidRDefault="00BB3E61" w:rsidP="00BB3E61"/>
    <w:p w:rsidR="00BB3E61" w:rsidRPr="00BB3E61" w:rsidRDefault="00BB3E61" w:rsidP="00BB3E61"/>
    <w:p w:rsidR="0019353A" w:rsidRDefault="00C50184" w:rsidP="00BB3E61">
      <w:pPr>
        <w:pStyle w:val="Heading1"/>
      </w:pPr>
      <w:r>
        <w:lastRenderedPageBreak/>
        <w:t>Patient H</w:t>
      </w:r>
      <w:r w:rsidR="007A14BD">
        <w:t>istory and Physical (H</w:t>
      </w:r>
      <w:r>
        <w:t>&amp;P</w:t>
      </w:r>
      <w:r w:rsidR="007A14BD">
        <w:t>)</w:t>
      </w:r>
      <w:r w:rsidR="00573A5A">
        <w:t xml:space="preserve">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4321"/>
        <w:gridCol w:w="4053"/>
      </w:tblGrid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271DFC" w:rsidP="00271DFC">
            <w:pPr>
              <w:pStyle w:val="TableHeading"/>
            </w:pPr>
            <w:bookmarkStart w:id="0" w:name="columnheading"/>
            <w:bookmarkEnd w:id="0"/>
            <w:r>
              <w:t>Number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C50184" w:rsidP="00C029B7">
            <w:pPr>
              <w:pStyle w:val="TableHeading"/>
            </w:pPr>
            <w:r>
              <w:t>Common</w:t>
            </w:r>
            <w:r w:rsidR="001072D5" w:rsidRPr="00152C45">
              <w:t xml:space="preserve"> Term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C50184" w:rsidP="00C029B7">
            <w:pPr>
              <w:pStyle w:val="TableHeading"/>
            </w:pPr>
            <w:r>
              <w:t>Medical Term</w:t>
            </w:r>
            <w:r w:rsidR="00EB5AAF">
              <w:t xml:space="preserve"> or Abbreviation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i/>
                <w:szCs w:val="22"/>
              </w:rPr>
            </w:pPr>
            <w:r w:rsidRPr="00152C45">
              <w:rPr>
                <w:rFonts w:ascii="Calibri" w:eastAsia="Calibri" w:hAnsi="Calibri"/>
                <w:i/>
                <w:szCs w:val="22"/>
              </w:rPr>
              <w:t>Example 1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The large bone in the upper part of the leg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Femur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i/>
                <w:szCs w:val="22"/>
              </w:rPr>
            </w:pPr>
            <w:r w:rsidRPr="00152C45">
              <w:rPr>
                <w:rFonts w:ascii="Calibri" w:eastAsia="Calibri" w:hAnsi="Calibri"/>
                <w:i/>
                <w:szCs w:val="22"/>
              </w:rPr>
              <w:t>Example 2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Excision or removal of a tendon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EF135E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Tendonectomy</w:t>
            </w:r>
          </w:p>
        </w:tc>
      </w:tr>
      <w:tr w:rsidR="00057B44" w:rsidTr="00C029B7">
        <w:tc>
          <w:tcPr>
            <w:tcW w:w="976" w:type="dxa"/>
            <w:shd w:val="clear" w:color="auto" w:fill="auto"/>
          </w:tcPr>
          <w:p w:rsidR="00057B44" w:rsidRPr="00152C45" w:rsidRDefault="00057B44" w:rsidP="00057B44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Example 3</w:t>
            </w:r>
          </w:p>
        </w:tc>
        <w:tc>
          <w:tcPr>
            <w:tcW w:w="4442" w:type="dxa"/>
            <w:shd w:val="clear" w:color="auto" w:fill="auto"/>
          </w:tcPr>
          <w:p w:rsidR="00057B44" w:rsidRDefault="00057B44" w:rsidP="00057B44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Ears, nose, throat</w:t>
            </w:r>
          </w:p>
        </w:tc>
        <w:tc>
          <w:tcPr>
            <w:tcW w:w="4158" w:type="dxa"/>
            <w:shd w:val="clear" w:color="auto" w:fill="auto"/>
          </w:tcPr>
          <w:p w:rsidR="00057B44" w:rsidRDefault="00057B44" w:rsidP="00EF135E">
            <w:pPr>
              <w:rPr>
                <w:rFonts w:ascii="Calibri" w:eastAsia="Calibri" w:hAnsi="Calibri"/>
                <w:i/>
                <w:szCs w:val="22"/>
              </w:rPr>
            </w:pPr>
            <w:r>
              <w:rPr>
                <w:rFonts w:ascii="Calibri" w:eastAsia="Calibri" w:hAnsi="Calibri"/>
                <w:i/>
                <w:szCs w:val="22"/>
              </w:rPr>
              <w:t>ENT</w:t>
            </w:r>
          </w:p>
        </w:tc>
      </w:tr>
      <w:tr w:rsidR="001072D5" w:rsidTr="00C029B7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845F4" w:rsidP="000845F4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Cranial nerves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N</w:t>
            </w:r>
            <w:r w:rsidR="000845F4">
              <w:rPr>
                <w:rFonts w:ascii="Calibri" w:eastAsia="Calibri" w:hAnsi="Calibri"/>
                <w:szCs w:val="22"/>
              </w:rPr>
              <w:t>eurologic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2.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845F4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The availabiltyof gallstones in the body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C</w:t>
            </w:r>
            <w:r w:rsidR="000845F4">
              <w:rPr>
                <w:rFonts w:ascii="Calibri" w:eastAsia="Calibri" w:hAnsi="Calibri"/>
                <w:szCs w:val="22"/>
              </w:rPr>
              <w:t>holelithiasis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3.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EC508B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Blood pressure above 130/80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EC508B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High blood pressure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4.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EC508B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Irregular rapid heartbeat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A</w:t>
            </w:r>
            <w:r w:rsidR="00EC508B">
              <w:rPr>
                <w:rFonts w:ascii="Calibri" w:eastAsia="Calibri" w:hAnsi="Calibri"/>
                <w:szCs w:val="22"/>
              </w:rPr>
              <w:t>rrhythmia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5.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9406C7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Double vision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406C7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Binocular diplopia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6.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9406C7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Cerebrovascular accident  or stroke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406C7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CVA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7.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back headaches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Stress headaches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8.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Melanin imbalance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Skin discoloration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9.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Legs swelling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Peripheral edema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10.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Surgical removal of the bladder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Cholecystectomy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11.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Intact eye muscle movement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I</w:t>
            </w:r>
            <w:r w:rsidR="000D4658">
              <w:rPr>
                <w:rFonts w:ascii="Calibri" w:eastAsia="Calibri" w:hAnsi="Calibri"/>
                <w:szCs w:val="22"/>
              </w:rPr>
              <w:t>ntorsion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12.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Being alert and oriented to person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A&amp;OX3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13.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Inability of the nerves to receive stimuli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P</w:t>
            </w:r>
            <w:r w:rsidR="000D4658">
              <w:rPr>
                <w:rFonts w:ascii="Calibri" w:eastAsia="Calibri" w:hAnsi="Calibri"/>
                <w:szCs w:val="22"/>
              </w:rPr>
              <w:t>olyps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14.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Loss of clear vision in one or both eyes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955A90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A</w:t>
            </w:r>
            <w:r w:rsidR="000D4658">
              <w:rPr>
                <w:rFonts w:ascii="Calibri" w:eastAsia="Calibri" w:hAnsi="Calibri"/>
                <w:szCs w:val="22"/>
              </w:rPr>
              <w:t>mbylopia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15.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Spastic colon</w:t>
            </w:r>
          </w:p>
        </w:tc>
        <w:tc>
          <w:tcPr>
            <w:tcW w:w="4158" w:type="dxa"/>
            <w:shd w:val="clear" w:color="auto" w:fill="auto"/>
          </w:tcPr>
          <w:p w:rsidR="001072D5" w:rsidRPr="00152C45" w:rsidRDefault="000D4658" w:rsidP="001072D5">
            <w:pPr>
              <w:rPr>
                <w:rFonts w:ascii="Calibri" w:eastAsia="Calibri" w:hAnsi="Calibri"/>
                <w:szCs w:val="22"/>
              </w:rPr>
            </w:pPr>
            <w:r>
              <w:rPr>
                <w:rFonts w:ascii="Calibri" w:eastAsia="Calibri" w:hAnsi="Calibri"/>
                <w:szCs w:val="22"/>
              </w:rPr>
              <w:t>IBS</w:t>
            </w: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16.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17.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18.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19.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  <w:tr w:rsidR="001072D5" w:rsidTr="00C029B7">
        <w:tc>
          <w:tcPr>
            <w:tcW w:w="976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  <w:r w:rsidRPr="00152C45">
              <w:rPr>
                <w:rFonts w:ascii="Calibri" w:eastAsia="Calibri" w:hAnsi="Calibri"/>
                <w:szCs w:val="22"/>
              </w:rPr>
              <w:t>20.</w:t>
            </w:r>
          </w:p>
        </w:tc>
        <w:tc>
          <w:tcPr>
            <w:tcW w:w="4442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152C45" w:rsidRDefault="001072D5" w:rsidP="001072D5">
            <w:pPr>
              <w:rPr>
                <w:rFonts w:ascii="Calibri" w:eastAsia="Calibri" w:hAnsi="Calibri"/>
                <w:szCs w:val="22"/>
              </w:rPr>
            </w:pPr>
          </w:p>
        </w:tc>
      </w:tr>
    </w:tbl>
    <w:p w:rsidR="00F0515D" w:rsidRDefault="00F0515D" w:rsidP="001072D5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BB3E61" w:rsidRDefault="00BB3E61" w:rsidP="0051643B">
      <w:pPr>
        <w:rPr>
          <w:b/>
        </w:rPr>
      </w:pPr>
    </w:p>
    <w:p w:rsidR="00D45AB1" w:rsidRDefault="00D45AB1" w:rsidP="00BB3E61">
      <w:pPr>
        <w:jc w:val="center"/>
        <w:rPr>
          <w:b/>
        </w:rPr>
      </w:pPr>
    </w:p>
    <w:p w:rsidR="000D4658" w:rsidRDefault="00EF135E" w:rsidP="00BB3E61">
      <w:pPr>
        <w:jc w:val="center"/>
        <w:rPr>
          <w:b/>
        </w:rPr>
      </w:pPr>
      <w:r w:rsidRPr="007A14BD">
        <w:rPr>
          <w:b/>
        </w:rPr>
        <w:lastRenderedPageBreak/>
        <w:t xml:space="preserve">References in APA </w:t>
      </w:r>
      <w:r w:rsidR="00F0515D">
        <w:rPr>
          <w:b/>
        </w:rPr>
        <w:t>F</w:t>
      </w:r>
      <w:r w:rsidRPr="007A14BD">
        <w:rPr>
          <w:b/>
        </w:rPr>
        <w:t>ormat</w:t>
      </w:r>
    </w:p>
    <w:p w:rsidR="00D45AB1" w:rsidRDefault="00D45AB1" w:rsidP="00BB3E61">
      <w:pPr>
        <w:jc w:val="center"/>
        <w:rPr>
          <w:b/>
        </w:rPr>
      </w:pPr>
      <w:bookmarkStart w:id="1" w:name="_GoBack"/>
      <w:bookmarkEnd w:id="1"/>
    </w:p>
    <w:p w:rsidR="00BB3E61" w:rsidRPr="00BB3E61" w:rsidRDefault="00BB3E61" w:rsidP="00BB3E61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Boyce, A. M. (2018). The Bone Health History and Physical Examination in Adolescents. In A Practical Approach to Adolescent Bone Health (pp. 77-91). Springer, Cham.</w:t>
      </w:r>
    </w:p>
    <w:p w:rsidR="00BB3E61" w:rsidRPr="00BB3E61" w:rsidRDefault="00BB3E61" w:rsidP="00BB3E61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Braddom, R. L. (2010). Physical medicine and rehabilitation e-book. Elsevier Health Sciences.</w:t>
      </w:r>
    </w:p>
    <w:p w:rsidR="00955A90" w:rsidRPr="00BB3E61" w:rsidRDefault="00BB3E61" w:rsidP="00BB3E61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McKernan, L. C., Finn, M. T., &amp; Carr, E. R. (2017). Personality and affect when the central nervous system is sensitized: An analysis of central sensitization syndromes in a substance use disorder population. Psychodynamic psychiatry, 45(3), 385-409</w:t>
      </w:r>
    </w:p>
    <w:p w:rsidR="00955A90" w:rsidRPr="00BB3E61" w:rsidRDefault="00955A90" w:rsidP="00BB3E61">
      <w:pPr>
        <w:spacing w:line="480" w:lineRule="auto"/>
        <w:ind w:left="720" w:hanging="720"/>
        <w:rPr>
          <w:rFonts w:ascii="Times New Roman" w:hAnsi="Times New Roman"/>
          <w:b/>
          <w:sz w:val="24"/>
        </w:rPr>
      </w:pPr>
    </w:p>
    <w:sectPr w:rsidR="00955A90" w:rsidRPr="00BB3E61" w:rsidSect="00BB3E61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D24" w:rsidRDefault="00E90D24">
      <w:r>
        <w:separator/>
      </w:r>
    </w:p>
  </w:endnote>
  <w:endnote w:type="continuationSeparator" w:id="0">
    <w:p w:rsidR="00E90D24" w:rsidRDefault="00E9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9E5038" w:rsidRDefault="00797EFF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D45AB1">
      <w:rPr>
        <w:rStyle w:val="PageNumber"/>
        <w:noProof/>
      </w:rPr>
      <w:t>3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9E5038" w:rsidRDefault="00797EFF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D45AB1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D24" w:rsidRDefault="00E90D24">
      <w:r>
        <w:separator/>
      </w:r>
    </w:p>
  </w:footnote>
  <w:footnote w:type="continuationSeparator" w:id="0">
    <w:p w:rsidR="00E90D24" w:rsidRDefault="00E90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E61" w:rsidRDefault="00BB3E61">
    <w:pPr>
      <w:pStyle w:val="Header"/>
      <w:jc w:val="right"/>
    </w:pPr>
    <w:r>
      <w:t xml:space="preserve">NERVOUS SYSTEM                                                                                                                     </w:t>
    </w:r>
    <w:sdt>
      <w:sdtPr>
        <w:id w:val="-11617689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5AB1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19353A" w:rsidRDefault="0019353A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Default="00BB3E61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t>Running Head</w:t>
    </w:r>
    <w:r>
      <w:rPr>
        <w:noProof/>
      </w:rPr>
      <w:t>: NERVOUS NAME                                                                                                1</w:t>
    </w:r>
    <w:r w:rsidR="0019353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57B44"/>
    <w:rsid w:val="000845F4"/>
    <w:rsid w:val="00085A33"/>
    <w:rsid w:val="000B1F9D"/>
    <w:rsid w:val="000D4658"/>
    <w:rsid w:val="001072D5"/>
    <w:rsid w:val="001175F6"/>
    <w:rsid w:val="00152C45"/>
    <w:rsid w:val="00191F09"/>
    <w:rsid w:val="0019353A"/>
    <w:rsid w:val="0022491A"/>
    <w:rsid w:val="00242852"/>
    <w:rsid w:val="00251E85"/>
    <w:rsid w:val="00271DFC"/>
    <w:rsid w:val="002B3EC0"/>
    <w:rsid w:val="002F5D66"/>
    <w:rsid w:val="003106F6"/>
    <w:rsid w:val="00331E2D"/>
    <w:rsid w:val="0033426A"/>
    <w:rsid w:val="00382E77"/>
    <w:rsid w:val="00392604"/>
    <w:rsid w:val="003957AE"/>
    <w:rsid w:val="003B6396"/>
    <w:rsid w:val="003F3556"/>
    <w:rsid w:val="00402F5A"/>
    <w:rsid w:val="004056F7"/>
    <w:rsid w:val="0044243D"/>
    <w:rsid w:val="00442481"/>
    <w:rsid w:val="00493F48"/>
    <w:rsid w:val="004E5957"/>
    <w:rsid w:val="0051643B"/>
    <w:rsid w:val="00524F64"/>
    <w:rsid w:val="00533DCF"/>
    <w:rsid w:val="00564847"/>
    <w:rsid w:val="00573A5A"/>
    <w:rsid w:val="005B7B81"/>
    <w:rsid w:val="006001EC"/>
    <w:rsid w:val="00666326"/>
    <w:rsid w:val="0067617E"/>
    <w:rsid w:val="00697B29"/>
    <w:rsid w:val="00705317"/>
    <w:rsid w:val="00733E3D"/>
    <w:rsid w:val="0076387B"/>
    <w:rsid w:val="00797EFF"/>
    <w:rsid w:val="007A14BD"/>
    <w:rsid w:val="007C6C25"/>
    <w:rsid w:val="00825B29"/>
    <w:rsid w:val="008603F8"/>
    <w:rsid w:val="008965F6"/>
    <w:rsid w:val="008C6971"/>
    <w:rsid w:val="008E793E"/>
    <w:rsid w:val="009406C7"/>
    <w:rsid w:val="00950540"/>
    <w:rsid w:val="00955A90"/>
    <w:rsid w:val="0097450F"/>
    <w:rsid w:val="00996595"/>
    <w:rsid w:val="009E40DF"/>
    <w:rsid w:val="00A41367"/>
    <w:rsid w:val="00AB6675"/>
    <w:rsid w:val="00AC37A0"/>
    <w:rsid w:val="00B051AD"/>
    <w:rsid w:val="00B341F2"/>
    <w:rsid w:val="00B6113D"/>
    <w:rsid w:val="00B824A1"/>
    <w:rsid w:val="00B83422"/>
    <w:rsid w:val="00B93CA5"/>
    <w:rsid w:val="00BA0818"/>
    <w:rsid w:val="00BB3E61"/>
    <w:rsid w:val="00BC385D"/>
    <w:rsid w:val="00C029B7"/>
    <w:rsid w:val="00C1015A"/>
    <w:rsid w:val="00C50184"/>
    <w:rsid w:val="00C601A3"/>
    <w:rsid w:val="00C63FDE"/>
    <w:rsid w:val="00C717C0"/>
    <w:rsid w:val="00C84023"/>
    <w:rsid w:val="00D43857"/>
    <w:rsid w:val="00D45AB1"/>
    <w:rsid w:val="00D64EB8"/>
    <w:rsid w:val="00D75DF9"/>
    <w:rsid w:val="00D9465E"/>
    <w:rsid w:val="00D95A66"/>
    <w:rsid w:val="00DA02DF"/>
    <w:rsid w:val="00DA77E5"/>
    <w:rsid w:val="00DD7FBE"/>
    <w:rsid w:val="00E17B1B"/>
    <w:rsid w:val="00E3073E"/>
    <w:rsid w:val="00E90D24"/>
    <w:rsid w:val="00EA3DFD"/>
    <w:rsid w:val="00EB3E31"/>
    <w:rsid w:val="00EB5AAF"/>
    <w:rsid w:val="00EC508B"/>
    <w:rsid w:val="00EF135E"/>
    <w:rsid w:val="00EF2631"/>
    <w:rsid w:val="00F0515D"/>
    <w:rsid w:val="00F32772"/>
    <w:rsid w:val="00FC3204"/>
    <w:rsid w:val="00FF7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F65B72"/>
  <w15:docId w15:val="{87FE9800-EA09-4552-A9F1-5FFB47840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link w:val="HeaderChar"/>
    <w:uiPriority w:val="99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C029B7"/>
    <w:pPr>
      <w:spacing w:before="120" w:after="120"/>
      <w:jc w:val="center"/>
    </w:pPr>
    <w:rPr>
      <w:rFonts w:ascii="Calibri" w:eastAsia="Calibri" w:hAnsi="Calibri"/>
      <w:b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B3E6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63B6B7-4B6E-46B5-8C60-42E9D0028BC1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82501FF-B42D-48B6-85FD-EC9AA99A2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User</cp:lastModifiedBy>
  <cp:revision>3</cp:revision>
  <cp:lastPrinted>2004-11-23T17:45:00Z</cp:lastPrinted>
  <dcterms:created xsi:type="dcterms:W3CDTF">2020-01-24T19:14:00Z</dcterms:created>
  <dcterms:modified xsi:type="dcterms:W3CDTF">2020-01-24T19:15:00Z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