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5DD" w:rsidRDefault="004745DD" w:rsidP="006C6481">
      <w:pPr>
        <w:spacing w:before="100" w:beforeAutospacing="1" w:after="100" w:afterAutospacing="1" w:line="480" w:lineRule="auto"/>
        <w:ind w:firstLine="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b/>
          <w:sz w:val="24"/>
          <w:szCs w:val="24"/>
        </w:rPr>
      </w:pPr>
    </w:p>
    <w:p w:rsidR="004745DD" w:rsidRDefault="00972D25" w:rsidP="006C648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72D25" w:rsidRDefault="00972D25" w:rsidP="006C648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72D25" w:rsidRDefault="00972D25" w:rsidP="006C648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72D25" w:rsidRPr="00972D25" w:rsidRDefault="00972D25" w:rsidP="00972D25">
      <w:pPr>
        <w:spacing w:before="100" w:beforeAutospacing="1" w:after="100" w:afterAutospacing="1" w:line="480" w:lineRule="auto"/>
        <w:ind w:firstLine="720"/>
        <w:jc w:val="center"/>
        <w:rPr>
          <w:rFonts w:ascii="Times New Roman" w:hAnsi="Times New Roman" w:cs="Times New Roman"/>
          <w:sz w:val="24"/>
          <w:szCs w:val="24"/>
        </w:rPr>
      </w:pPr>
      <w:r w:rsidRPr="00972D25">
        <w:rPr>
          <w:rFonts w:ascii="Times New Roman" w:hAnsi="Times New Roman" w:cs="Times New Roman"/>
          <w:sz w:val="24"/>
          <w:szCs w:val="24"/>
        </w:rPr>
        <w:t>Human Rights- Based Approach</w:t>
      </w:r>
    </w:p>
    <w:p w:rsidR="00972D25" w:rsidRDefault="00972D25" w:rsidP="006C6481">
      <w:pPr>
        <w:spacing w:before="100" w:beforeAutospacing="1" w:after="100" w:afterAutospacing="1" w:line="480" w:lineRule="auto"/>
        <w:ind w:firstLine="720"/>
        <w:jc w:val="center"/>
        <w:rPr>
          <w:rFonts w:ascii="Times New Roman" w:hAnsi="Times New Roman" w:cs="Times New Roman"/>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sz w:val="24"/>
          <w:szCs w:val="24"/>
        </w:rPr>
      </w:pPr>
    </w:p>
    <w:p w:rsidR="004745DD" w:rsidRDefault="004745DD" w:rsidP="006C6481">
      <w:pPr>
        <w:spacing w:before="100" w:beforeAutospacing="1" w:after="100" w:afterAutospacing="1" w:line="480" w:lineRule="auto"/>
        <w:ind w:firstLine="720"/>
        <w:jc w:val="center"/>
        <w:rPr>
          <w:rFonts w:ascii="Times New Roman" w:hAnsi="Times New Roman" w:cs="Times New Roman"/>
          <w:sz w:val="24"/>
          <w:szCs w:val="24"/>
        </w:rPr>
      </w:pPr>
    </w:p>
    <w:p w:rsidR="004745DD" w:rsidRDefault="004745DD" w:rsidP="00972D25">
      <w:pPr>
        <w:spacing w:before="100" w:beforeAutospacing="1" w:after="100" w:afterAutospacing="1" w:line="480" w:lineRule="auto"/>
        <w:rPr>
          <w:rFonts w:ascii="Times New Roman" w:hAnsi="Times New Roman" w:cs="Times New Roman"/>
          <w:sz w:val="24"/>
          <w:szCs w:val="24"/>
        </w:rPr>
      </w:pPr>
    </w:p>
    <w:p w:rsidR="00972D25" w:rsidRDefault="00972D25" w:rsidP="00972D25">
      <w:pPr>
        <w:spacing w:before="100" w:beforeAutospacing="1" w:after="100" w:afterAutospacing="1" w:line="480" w:lineRule="auto"/>
        <w:rPr>
          <w:rFonts w:ascii="Times New Roman" w:hAnsi="Times New Roman" w:cs="Times New Roman"/>
          <w:sz w:val="24"/>
          <w:szCs w:val="24"/>
        </w:rPr>
      </w:pPr>
    </w:p>
    <w:p w:rsidR="00B43C67" w:rsidRPr="00B43C67"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lastRenderedPageBreak/>
        <w:t xml:space="preserve">Human Rights- Based Approach refers to the inalienable and equal rights of every single human being that provide the main foundation of justice, freedom, and peace around the globe, as described by the UNDHR (Universal Declaration of Human Rights).  Achieving dignity and equality of every single individual underpins an Action Program for Human Rights which has been adopted by the General Assembly of the United Nations in the year 1948. The application and prioritization of the principles regarding the human rights have become a primary cornerstone of the reform efforts conducted by the United Nations that were initiated in the year 1997. Human Rights-Based Approach centrally focuses on the people that are most excluded marginalized or even being discriminated against. “That usually requires a particular analysis regarding the gender norms, different types of power imbalances and discrimination so as to ensure that the interventions can reach the marginalized parts of the entire population.” (Cummins, Byers, </w:t>
      </w:r>
      <w:proofErr w:type="spellStart"/>
      <w:r w:rsidRPr="00B43C67">
        <w:rPr>
          <w:rFonts w:ascii="Times New Roman" w:hAnsi="Times New Roman" w:cs="Times New Roman"/>
          <w:sz w:val="24"/>
          <w:szCs w:val="24"/>
        </w:rPr>
        <w:t>Pedrick</w:t>
      </w:r>
      <w:proofErr w:type="spellEnd"/>
      <w:r w:rsidRPr="00B43C67">
        <w:rPr>
          <w:rFonts w:ascii="Times New Roman" w:hAnsi="Times New Roman" w:cs="Times New Roman"/>
          <w:sz w:val="24"/>
          <w:szCs w:val="24"/>
        </w:rPr>
        <w:t>, 2011)</w:t>
      </w:r>
    </w:p>
    <w:p w:rsidR="00B43C67" w:rsidRPr="00B43C67"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t xml:space="preserve">There are various elements that pertain good practices that are under the HRBA. One of them is that the programs mainly identify the realization regarding the human rights as the goals that are ultimate towards development. People are often recognized as the primary actors within their own development instead of passive commodity recipients of services and commodities. Participation is also both a goal and a means. Moreover, the strategies are both disempowering and empowering. Both the processes and outcomes are evaluated and monitored. Programs mainly focus on the excluded and marginalized groups. The process of development is owned locally. The programs mainly aim at reducing the disparities in the society and also empowering the people who have been left behind in terms of development. </w:t>
      </w:r>
    </w:p>
    <w:p w:rsidR="00B43C67" w:rsidRPr="00B43C67"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lastRenderedPageBreak/>
        <w:t>The guides of the Human Rights Standard usually helps in formulating measurable targets, indicators, and goals within the program. There are various strategic partnerships which are sustained and developed. The systems of National Accountability often need to be strengthened with a particular view in ensuring there is an independent government performance review as well as access to the remedies for the people who are aggrieved (</w:t>
      </w:r>
      <w:proofErr w:type="spellStart"/>
      <w:r w:rsidRPr="00B43C67">
        <w:rPr>
          <w:rFonts w:ascii="Times New Roman" w:hAnsi="Times New Roman" w:cs="Times New Roman"/>
          <w:sz w:val="24"/>
          <w:szCs w:val="24"/>
        </w:rPr>
        <w:t>Gatenio</w:t>
      </w:r>
      <w:proofErr w:type="spellEnd"/>
      <w:r w:rsidRPr="00B43C67">
        <w:rPr>
          <w:rFonts w:ascii="Times New Roman" w:hAnsi="Times New Roman" w:cs="Times New Roman"/>
          <w:sz w:val="24"/>
          <w:szCs w:val="24"/>
        </w:rPr>
        <w:t xml:space="preserve">-Gabel, 2016). </w:t>
      </w:r>
    </w:p>
    <w:p w:rsidR="00B43C67" w:rsidRPr="00B43C67"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t xml:space="preserve">The United States Policy regarding discrimination in the workplace may relate significantly to the Human Rights- Based Approach. The equal employment policy enacted in 2011 states that the government of the United States will not discriminate on the basis of religion, race, sex, color, national origin, sexual orientation, gender identity, political affiliation, disability, marital status or even genetic information and age among other non-merit factors. That reflects that the federal civil service statute bars any sort of discrimination that is based on conduct that doesn’t affect the performance of the applicant or worker adversely or even other people’s performance (Cummins, Byers, </w:t>
      </w:r>
      <w:proofErr w:type="spellStart"/>
      <w:r w:rsidRPr="00B43C67">
        <w:rPr>
          <w:rFonts w:ascii="Times New Roman" w:hAnsi="Times New Roman" w:cs="Times New Roman"/>
          <w:sz w:val="24"/>
          <w:szCs w:val="24"/>
        </w:rPr>
        <w:t>Pedrick</w:t>
      </w:r>
      <w:proofErr w:type="spellEnd"/>
      <w:r w:rsidRPr="00B43C67">
        <w:rPr>
          <w:rFonts w:ascii="Times New Roman" w:hAnsi="Times New Roman" w:cs="Times New Roman"/>
          <w:sz w:val="24"/>
          <w:szCs w:val="24"/>
        </w:rPr>
        <w:t>, 2011)</w:t>
      </w:r>
    </w:p>
    <w:p w:rsidR="00B43C67" w:rsidRPr="00B43C67"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t xml:space="preserve">On the other hand, in Canada, there is a human rights Act that is with regards to individuals that have disabilities and have experienced abuse, exclusion, neglect, discrimination as well as marginalization. The duty to accommodate is provided in the act where there are several general principles provided where employers are provided with the duty to accommodate people that have disabilities which means that the accommodation needs to be provided in a way where most people respect the dignity of the individual. Unlike the United States policy stated, this particular one in Canada focuses mainly on the people with disabilities as well as the various ways for accommodating the needs for the individuals that have disabilities that need to be </w:t>
      </w:r>
      <w:r w:rsidRPr="00B43C67">
        <w:rPr>
          <w:rFonts w:ascii="Times New Roman" w:hAnsi="Times New Roman" w:cs="Times New Roman"/>
          <w:sz w:val="24"/>
          <w:szCs w:val="24"/>
        </w:rPr>
        <w:lastRenderedPageBreak/>
        <w:t>considered along a continuum for the different ways which respect privacy, integration, autonomy as well as other different human values towards the people who do not respect such kind of values (</w:t>
      </w:r>
      <w:proofErr w:type="spellStart"/>
      <w:r w:rsidRPr="00B43C67">
        <w:rPr>
          <w:rFonts w:ascii="Times New Roman" w:hAnsi="Times New Roman" w:cs="Times New Roman"/>
          <w:sz w:val="24"/>
          <w:szCs w:val="24"/>
        </w:rPr>
        <w:t>Gatenio</w:t>
      </w:r>
      <w:proofErr w:type="spellEnd"/>
      <w:r w:rsidRPr="00B43C67">
        <w:rPr>
          <w:rFonts w:ascii="Times New Roman" w:hAnsi="Times New Roman" w:cs="Times New Roman"/>
          <w:sz w:val="24"/>
          <w:szCs w:val="24"/>
        </w:rPr>
        <w:t xml:space="preserve">-Gabel, 2016). </w:t>
      </w:r>
    </w:p>
    <w:p w:rsidR="00B43C67" w:rsidRPr="00B43C67"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t>Both the two acts are beneficial to the society as it promotes diversity. When a workforce is being built, qualified individuals in the societies are hired and companies are able to hire quality talent if the job applications are open to every individual and not simply on a few individuals. The individuals who are working usually feel empowered that they are hired based on the aptitude solely. “The society consume high-quality products if people from different cultures can benefit from various language skills and help them to sell services as well as products on an international level as well as providing enhanced customer services.” (</w:t>
      </w:r>
      <w:proofErr w:type="spellStart"/>
      <w:r w:rsidRPr="00B43C67">
        <w:rPr>
          <w:rFonts w:ascii="Times New Roman" w:hAnsi="Times New Roman" w:cs="Times New Roman"/>
          <w:sz w:val="24"/>
          <w:szCs w:val="24"/>
        </w:rPr>
        <w:t>Hoefer</w:t>
      </w:r>
      <w:proofErr w:type="spellEnd"/>
      <w:r w:rsidRPr="00B43C67">
        <w:rPr>
          <w:rFonts w:ascii="Times New Roman" w:hAnsi="Times New Roman" w:cs="Times New Roman"/>
          <w:sz w:val="24"/>
          <w:szCs w:val="24"/>
        </w:rPr>
        <w:t xml:space="preserve">, 2011). </w:t>
      </w:r>
    </w:p>
    <w:p w:rsidR="00B43C67" w:rsidRPr="00B43C67"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t>Canadians that have disabilities have reported having access to services and goods from the businesses, local as well as the state government in addition to their local communities. Individuals that have impairments in morbidity have been experiencing improvements substantially within the physical access to business, government agencies, and transportation. As employees, the disabled individuals have a lower likelihood of their accommodations being terminated attributed to their disabilities. The access to the information mainly the internet is also inconsistent for individuals that are impaired visually and the progress towards the main goal of self-sufficiency of the economy can appear to be the goal that has the least level of success (</w:t>
      </w:r>
      <w:proofErr w:type="spellStart"/>
      <w:r w:rsidRPr="00B43C67">
        <w:rPr>
          <w:rFonts w:ascii="Times New Roman" w:hAnsi="Times New Roman" w:cs="Times New Roman"/>
          <w:sz w:val="24"/>
          <w:szCs w:val="24"/>
        </w:rPr>
        <w:t>Hoefer</w:t>
      </w:r>
      <w:proofErr w:type="spellEnd"/>
      <w:r w:rsidRPr="00B43C67">
        <w:rPr>
          <w:rFonts w:ascii="Times New Roman" w:hAnsi="Times New Roman" w:cs="Times New Roman"/>
          <w:sz w:val="24"/>
          <w:szCs w:val="24"/>
        </w:rPr>
        <w:t xml:space="preserve">, 2011). </w:t>
      </w:r>
    </w:p>
    <w:p w:rsidR="00275E39" w:rsidRDefault="00B43C67" w:rsidP="00B43C67">
      <w:pPr>
        <w:spacing w:before="100" w:beforeAutospacing="1" w:after="100" w:afterAutospacing="1" w:line="480" w:lineRule="auto"/>
        <w:ind w:firstLine="720"/>
        <w:rPr>
          <w:rFonts w:ascii="Times New Roman" w:hAnsi="Times New Roman" w:cs="Times New Roman"/>
          <w:sz w:val="24"/>
          <w:szCs w:val="24"/>
        </w:rPr>
      </w:pPr>
      <w:r w:rsidRPr="00B43C67">
        <w:rPr>
          <w:rFonts w:ascii="Times New Roman" w:hAnsi="Times New Roman" w:cs="Times New Roman"/>
          <w:sz w:val="24"/>
          <w:szCs w:val="24"/>
        </w:rPr>
        <w:t xml:space="preserve">In closing, the Human Rights Based Approach entails the inalienable equal rights of people which provides the central foundation for human rights, peace, and freedom globally. The </w:t>
      </w:r>
      <w:r w:rsidRPr="00B43C67">
        <w:rPr>
          <w:rFonts w:ascii="Times New Roman" w:hAnsi="Times New Roman" w:cs="Times New Roman"/>
          <w:sz w:val="24"/>
          <w:szCs w:val="24"/>
        </w:rPr>
        <w:lastRenderedPageBreak/>
        <w:t xml:space="preserve">paper above has looked into the HRBA, the various features as well as two rights related to the same movement in the United States (Equal Employment Rights) as well as Canada (People with Disability Act) in addition to their effects in the society (Cummins, Byers, </w:t>
      </w:r>
      <w:proofErr w:type="spellStart"/>
      <w:r w:rsidRPr="00B43C67">
        <w:rPr>
          <w:rFonts w:ascii="Times New Roman" w:hAnsi="Times New Roman" w:cs="Times New Roman"/>
          <w:sz w:val="24"/>
          <w:szCs w:val="24"/>
        </w:rPr>
        <w:t>Pedrick</w:t>
      </w:r>
      <w:proofErr w:type="spellEnd"/>
      <w:r w:rsidRPr="00B43C67">
        <w:rPr>
          <w:rFonts w:ascii="Times New Roman" w:hAnsi="Times New Roman" w:cs="Times New Roman"/>
          <w:sz w:val="24"/>
          <w:szCs w:val="24"/>
        </w:rPr>
        <w:t>, 2011)</w:t>
      </w: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4745DD" w:rsidRDefault="004745DD" w:rsidP="006C6481">
      <w:pPr>
        <w:spacing w:before="100" w:beforeAutospacing="1" w:after="100" w:afterAutospacing="1" w:line="480" w:lineRule="auto"/>
        <w:ind w:left="720" w:hanging="720"/>
        <w:jc w:val="center"/>
        <w:rPr>
          <w:rFonts w:ascii="Times New Roman" w:hAnsi="Times New Roman" w:cs="Times New Roman"/>
          <w:b/>
          <w:sz w:val="24"/>
          <w:szCs w:val="24"/>
        </w:rPr>
      </w:pPr>
    </w:p>
    <w:p w:rsidR="00972D25" w:rsidRDefault="00972D25" w:rsidP="00972D25">
      <w:pPr>
        <w:spacing w:before="100" w:beforeAutospacing="1" w:after="100" w:afterAutospacing="1" w:line="480" w:lineRule="auto"/>
        <w:rPr>
          <w:rFonts w:ascii="Times New Roman" w:hAnsi="Times New Roman" w:cs="Times New Roman"/>
          <w:sz w:val="24"/>
          <w:szCs w:val="24"/>
        </w:rPr>
      </w:pPr>
    </w:p>
    <w:p w:rsidR="00B43C67" w:rsidRDefault="00B43C67" w:rsidP="00972D25">
      <w:pPr>
        <w:spacing w:before="100" w:beforeAutospacing="1" w:after="100" w:afterAutospacing="1" w:line="480" w:lineRule="auto"/>
        <w:rPr>
          <w:rFonts w:ascii="Times New Roman" w:hAnsi="Times New Roman" w:cs="Times New Roman"/>
          <w:sz w:val="24"/>
          <w:szCs w:val="24"/>
        </w:rPr>
      </w:pPr>
      <w:bookmarkStart w:id="0" w:name="_GoBack"/>
      <w:bookmarkEnd w:id="0"/>
    </w:p>
    <w:p w:rsidR="001161E1" w:rsidRPr="00972D25" w:rsidRDefault="001161E1" w:rsidP="006C6481">
      <w:pPr>
        <w:spacing w:before="100" w:beforeAutospacing="1" w:after="100" w:afterAutospacing="1" w:line="480" w:lineRule="auto"/>
        <w:ind w:left="720" w:hanging="720"/>
        <w:jc w:val="center"/>
        <w:rPr>
          <w:rFonts w:ascii="Times New Roman" w:hAnsi="Times New Roman" w:cs="Times New Roman"/>
          <w:sz w:val="24"/>
          <w:szCs w:val="24"/>
        </w:rPr>
      </w:pPr>
      <w:r w:rsidRPr="00972D25">
        <w:rPr>
          <w:rFonts w:ascii="Times New Roman" w:hAnsi="Times New Roman" w:cs="Times New Roman"/>
          <w:sz w:val="24"/>
          <w:szCs w:val="24"/>
        </w:rPr>
        <w:lastRenderedPageBreak/>
        <w:t>Reference</w:t>
      </w:r>
      <w:r w:rsidR="00972D25" w:rsidRPr="00972D25">
        <w:rPr>
          <w:rFonts w:ascii="Times New Roman" w:hAnsi="Times New Roman" w:cs="Times New Roman"/>
          <w:sz w:val="24"/>
          <w:szCs w:val="24"/>
        </w:rPr>
        <w:t>s</w:t>
      </w:r>
    </w:p>
    <w:p w:rsidR="00B61374" w:rsidRPr="001161E1" w:rsidRDefault="00B61374" w:rsidP="006C6481">
      <w:pPr>
        <w:spacing w:before="100" w:beforeAutospacing="1" w:after="100" w:afterAutospacing="1" w:line="480" w:lineRule="auto"/>
        <w:ind w:left="720" w:hanging="720"/>
        <w:rPr>
          <w:rFonts w:ascii="Times New Roman" w:hAnsi="Times New Roman" w:cs="Times New Roman"/>
          <w:sz w:val="24"/>
          <w:szCs w:val="24"/>
        </w:rPr>
      </w:pPr>
      <w:r w:rsidRPr="001161E1">
        <w:rPr>
          <w:rFonts w:ascii="Times New Roman" w:hAnsi="Times New Roman" w:cs="Times New Roman"/>
          <w:sz w:val="24"/>
          <w:szCs w:val="24"/>
        </w:rPr>
        <w:t xml:space="preserve">Cummins, L.K., Byers, K.V., &amp; </w:t>
      </w:r>
      <w:proofErr w:type="spellStart"/>
      <w:r w:rsidRPr="001161E1">
        <w:rPr>
          <w:rFonts w:ascii="Times New Roman" w:hAnsi="Times New Roman" w:cs="Times New Roman"/>
          <w:sz w:val="24"/>
          <w:szCs w:val="24"/>
        </w:rPr>
        <w:t>Pedrick</w:t>
      </w:r>
      <w:proofErr w:type="spellEnd"/>
      <w:r w:rsidRPr="001161E1">
        <w:rPr>
          <w:rFonts w:ascii="Times New Roman" w:hAnsi="Times New Roman" w:cs="Times New Roman"/>
          <w:sz w:val="24"/>
          <w:szCs w:val="24"/>
        </w:rPr>
        <w:t>, L. (2011). Policy Practice for Social Workers: New Strategies</w:t>
      </w:r>
    </w:p>
    <w:p w:rsidR="00B61374" w:rsidRPr="001161E1" w:rsidRDefault="00B61374" w:rsidP="006C6481">
      <w:pPr>
        <w:spacing w:before="100" w:beforeAutospacing="1" w:after="100" w:afterAutospacing="1" w:line="480" w:lineRule="auto"/>
        <w:ind w:left="720" w:hanging="720"/>
        <w:rPr>
          <w:rFonts w:ascii="Times New Roman" w:hAnsi="Times New Roman" w:cs="Times New Roman"/>
          <w:sz w:val="24"/>
          <w:szCs w:val="24"/>
        </w:rPr>
      </w:pPr>
      <w:proofErr w:type="spellStart"/>
      <w:r w:rsidRPr="001161E1">
        <w:rPr>
          <w:rFonts w:ascii="Times New Roman" w:hAnsi="Times New Roman" w:cs="Times New Roman"/>
          <w:sz w:val="24"/>
          <w:szCs w:val="24"/>
        </w:rPr>
        <w:t>Gatenio</w:t>
      </w:r>
      <w:proofErr w:type="spellEnd"/>
      <w:r w:rsidRPr="001161E1">
        <w:rPr>
          <w:rFonts w:ascii="Times New Roman" w:hAnsi="Times New Roman" w:cs="Times New Roman"/>
          <w:sz w:val="24"/>
          <w:szCs w:val="24"/>
        </w:rPr>
        <w:t>-Gabel, S. (2016). A Rights-based Approach to Social Policy Analysis. Springer</w:t>
      </w:r>
    </w:p>
    <w:p w:rsidR="00B61374" w:rsidRPr="001161E1" w:rsidRDefault="00B61374" w:rsidP="006C6481">
      <w:pPr>
        <w:spacing w:before="100" w:beforeAutospacing="1" w:after="100" w:afterAutospacing="1" w:line="480" w:lineRule="auto"/>
        <w:ind w:left="720" w:hanging="720"/>
        <w:rPr>
          <w:rFonts w:ascii="Times New Roman" w:hAnsi="Times New Roman" w:cs="Times New Roman"/>
          <w:sz w:val="24"/>
          <w:szCs w:val="24"/>
        </w:rPr>
      </w:pPr>
      <w:proofErr w:type="spellStart"/>
      <w:r w:rsidRPr="001161E1">
        <w:rPr>
          <w:rFonts w:ascii="Times New Roman" w:hAnsi="Times New Roman" w:cs="Times New Roman"/>
          <w:sz w:val="24"/>
          <w:szCs w:val="24"/>
        </w:rPr>
        <w:t>Hoefer</w:t>
      </w:r>
      <w:proofErr w:type="spellEnd"/>
      <w:r w:rsidRPr="001161E1">
        <w:rPr>
          <w:rFonts w:ascii="Times New Roman" w:hAnsi="Times New Roman" w:cs="Times New Roman"/>
          <w:sz w:val="24"/>
          <w:szCs w:val="24"/>
        </w:rPr>
        <w:t>, R. (2011). Advocacy Practice for Social Justice, Second Edition. Chicago: Lyceum.</w:t>
      </w:r>
    </w:p>
    <w:sectPr w:rsidR="00B61374" w:rsidRPr="001161E1" w:rsidSect="00555F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C1D" w:rsidRDefault="005C7C1D" w:rsidP="00555FDF">
      <w:pPr>
        <w:spacing w:after="0" w:line="240" w:lineRule="auto"/>
      </w:pPr>
      <w:r>
        <w:separator/>
      </w:r>
    </w:p>
  </w:endnote>
  <w:endnote w:type="continuationSeparator" w:id="0">
    <w:p w:rsidR="005C7C1D" w:rsidRDefault="005C7C1D" w:rsidP="00555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C1D" w:rsidRDefault="005C7C1D" w:rsidP="00555FDF">
      <w:pPr>
        <w:spacing w:after="0" w:line="240" w:lineRule="auto"/>
      </w:pPr>
      <w:r>
        <w:separator/>
      </w:r>
    </w:p>
  </w:footnote>
  <w:footnote w:type="continuationSeparator" w:id="0">
    <w:p w:rsidR="005C7C1D" w:rsidRDefault="005C7C1D" w:rsidP="00555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6043143"/>
      <w:docPartObj>
        <w:docPartGallery w:val="Page Numbers (Top of Page)"/>
        <w:docPartUnique/>
      </w:docPartObj>
    </w:sdtPr>
    <w:sdtEndPr>
      <w:rPr>
        <w:noProof/>
      </w:rPr>
    </w:sdtEndPr>
    <w:sdtContent>
      <w:p w:rsidR="00555FDF" w:rsidRPr="00555FDF" w:rsidRDefault="00555FDF">
        <w:pPr>
          <w:pStyle w:val="Header"/>
          <w:jc w:val="right"/>
          <w:rPr>
            <w:rFonts w:ascii="Times New Roman" w:hAnsi="Times New Roman" w:cs="Times New Roman"/>
            <w:sz w:val="24"/>
            <w:szCs w:val="24"/>
          </w:rPr>
        </w:pPr>
        <w:r w:rsidRPr="00555FDF">
          <w:rPr>
            <w:rFonts w:ascii="Times New Roman" w:hAnsi="Times New Roman" w:cs="Times New Roman"/>
            <w:sz w:val="24"/>
            <w:szCs w:val="24"/>
          </w:rPr>
          <w:t xml:space="preserve">HRBA </w:t>
        </w:r>
        <w:r w:rsidRPr="00555FDF">
          <w:rPr>
            <w:rFonts w:ascii="Times New Roman" w:hAnsi="Times New Roman" w:cs="Times New Roman"/>
            <w:sz w:val="24"/>
            <w:szCs w:val="24"/>
          </w:rPr>
          <w:tab/>
        </w:r>
        <w:r w:rsidRPr="00555FDF">
          <w:rPr>
            <w:rFonts w:ascii="Times New Roman" w:hAnsi="Times New Roman" w:cs="Times New Roman"/>
            <w:sz w:val="24"/>
            <w:szCs w:val="24"/>
          </w:rPr>
          <w:tab/>
        </w:r>
        <w:r w:rsidRPr="00555FDF">
          <w:rPr>
            <w:rFonts w:ascii="Times New Roman" w:hAnsi="Times New Roman" w:cs="Times New Roman"/>
            <w:sz w:val="24"/>
            <w:szCs w:val="24"/>
          </w:rPr>
          <w:fldChar w:fldCharType="begin"/>
        </w:r>
        <w:r w:rsidRPr="00555FDF">
          <w:rPr>
            <w:rFonts w:ascii="Times New Roman" w:hAnsi="Times New Roman" w:cs="Times New Roman"/>
            <w:sz w:val="24"/>
            <w:szCs w:val="24"/>
          </w:rPr>
          <w:instrText xml:space="preserve"> PAGE   \* MERGEFORMAT </w:instrText>
        </w:r>
        <w:r w:rsidRPr="00555FDF">
          <w:rPr>
            <w:rFonts w:ascii="Times New Roman" w:hAnsi="Times New Roman" w:cs="Times New Roman"/>
            <w:sz w:val="24"/>
            <w:szCs w:val="24"/>
          </w:rPr>
          <w:fldChar w:fldCharType="separate"/>
        </w:r>
        <w:r w:rsidR="00B43C67">
          <w:rPr>
            <w:rFonts w:ascii="Times New Roman" w:hAnsi="Times New Roman" w:cs="Times New Roman"/>
            <w:noProof/>
            <w:sz w:val="24"/>
            <w:szCs w:val="24"/>
          </w:rPr>
          <w:t>2</w:t>
        </w:r>
        <w:r w:rsidRPr="00555FDF">
          <w:rPr>
            <w:rFonts w:ascii="Times New Roman" w:hAnsi="Times New Roman" w:cs="Times New Roman"/>
            <w:noProof/>
            <w:sz w:val="24"/>
            <w:szCs w:val="24"/>
          </w:rPr>
          <w:fldChar w:fldCharType="end"/>
        </w:r>
      </w:p>
    </w:sdtContent>
  </w:sdt>
  <w:p w:rsidR="00555FDF" w:rsidRDefault="00555F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F" w:rsidRPr="00555FDF" w:rsidRDefault="00555FDF">
    <w:pPr>
      <w:pStyle w:val="Header"/>
      <w:jc w:val="right"/>
      <w:rPr>
        <w:rFonts w:ascii="Times New Roman" w:hAnsi="Times New Roman" w:cs="Times New Roman"/>
        <w:sz w:val="24"/>
        <w:szCs w:val="24"/>
      </w:rPr>
    </w:pPr>
    <w:r w:rsidRPr="00555FDF">
      <w:rPr>
        <w:rFonts w:ascii="Times New Roman" w:hAnsi="Times New Roman" w:cs="Times New Roman"/>
        <w:sz w:val="24"/>
        <w:szCs w:val="24"/>
      </w:rPr>
      <w:t>Running head: H</w:t>
    </w:r>
    <w:sdt>
      <w:sdtPr>
        <w:rPr>
          <w:rFonts w:ascii="Times New Roman" w:hAnsi="Times New Roman" w:cs="Times New Roman"/>
          <w:sz w:val="24"/>
          <w:szCs w:val="24"/>
        </w:rPr>
        <w:id w:val="-887498128"/>
        <w:docPartObj>
          <w:docPartGallery w:val="Page Numbers (Top of Page)"/>
          <w:docPartUnique/>
        </w:docPartObj>
      </w:sdtPr>
      <w:sdtEndPr>
        <w:rPr>
          <w:noProof/>
        </w:rPr>
      </w:sdtEndPr>
      <w:sdtContent>
        <w:r w:rsidRPr="00555FDF">
          <w:rPr>
            <w:rFonts w:ascii="Times New Roman" w:hAnsi="Times New Roman" w:cs="Times New Roman"/>
            <w:sz w:val="24"/>
            <w:szCs w:val="24"/>
          </w:rPr>
          <w:t>RBA</w:t>
        </w:r>
        <w:r w:rsidRPr="00555FDF">
          <w:rPr>
            <w:rFonts w:ascii="Times New Roman" w:hAnsi="Times New Roman" w:cs="Times New Roman"/>
            <w:sz w:val="24"/>
            <w:szCs w:val="24"/>
          </w:rPr>
          <w:tab/>
        </w:r>
        <w:r w:rsidRPr="00555FDF">
          <w:rPr>
            <w:rFonts w:ascii="Times New Roman" w:hAnsi="Times New Roman" w:cs="Times New Roman"/>
            <w:sz w:val="24"/>
            <w:szCs w:val="24"/>
          </w:rPr>
          <w:tab/>
        </w:r>
        <w:r w:rsidRPr="00555FDF">
          <w:rPr>
            <w:rFonts w:ascii="Times New Roman" w:hAnsi="Times New Roman" w:cs="Times New Roman"/>
            <w:sz w:val="24"/>
            <w:szCs w:val="24"/>
          </w:rPr>
          <w:fldChar w:fldCharType="begin"/>
        </w:r>
        <w:r w:rsidRPr="00555FDF">
          <w:rPr>
            <w:rFonts w:ascii="Times New Roman" w:hAnsi="Times New Roman" w:cs="Times New Roman"/>
            <w:sz w:val="24"/>
            <w:szCs w:val="24"/>
          </w:rPr>
          <w:instrText xml:space="preserve"> PAGE   \* MERGEFORMAT </w:instrText>
        </w:r>
        <w:r w:rsidRPr="00555FDF">
          <w:rPr>
            <w:rFonts w:ascii="Times New Roman" w:hAnsi="Times New Roman" w:cs="Times New Roman"/>
            <w:sz w:val="24"/>
            <w:szCs w:val="24"/>
          </w:rPr>
          <w:fldChar w:fldCharType="separate"/>
        </w:r>
        <w:r w:rsidR="00B43C67">
          <w:rPr>
            <w:rFonts w:ascii="Times New Roman" w:hAnsi="Times New Roman" w:cs="Times New Roman"/>
            <w:noProof/>
            <w:sz w:val="24"/>
            <w:szCs w:val="24"/>
          </w:rPr>
          <w:t>1</w:t>
        </w:r>
        <w:r w:rsidRPr="00555FDF">
          <w:rPr>
            <w:rFonts w:ascii="Times New Roman" w:hAnsi="Times New Roman" w:cs="Times New Roman"/>
            <w:noProof/>
            <w:sz w:val="24"/>
            <w:szCs w:val="24"/>
          </w:rPr>
          <w:fldChar w:fldCharType="end"/>
        </w:r>
      </w:sdtContent>
    </w:sdt>
  </w:p>
  <w:p w:rsidR="00555FDF" w:rsidRPr="00555FDF" w:rsidRDefault="00555FD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74"/>
    <w:rsid w:val="001161E1"/>
    <w:rsid w:val="001F29D6"/>
    <w:rsid w:val="00216132"/>
    <w:rsid w:val="00260CDA"/>
    <w:rsid w:val="00273B24"/>
    <w:rsid w:val="00275E39"/>
    <w:rsid w:val="002A33B5"/>
    <w:rsid w:val="002E58F3"/>
    <w:rsid w:val="00344D44"/>
    <w:rsid w:val="00345BC2"/>
    <w:rsid w:val="004745DD"/>
    <w:rsid w:val="00552722"/>
    <w:rsid w:val="00555FDF"/>
    <w:rsid w:val="005A5885"/>
    <w:rsid w:val="005A6244"/>
    <w:rsid w:val="005C7C1D"/>
    <w:rsid w:val="006767F5"/>
    <w:rsid w:val="006C6481"/>
    <w:rsid w:val="00703D94"/>
    <w:rsid w:val="007939FC"/>
    <w:rsid w:val="007F3820"/>
    <w:rsid w:val="008B1339"/>
    <w:rsid w:val="0097278F"/>
    <w:rsid w:val="00972D25"/>
    <w:rsid w:val="00A24D79"/>
    <w:rsid w:val="00A85AF5"/>
    <w:rsid w:val="00B17E81"/>
    <w:rsid w:val="00B43C67"/>
    <w:rsid w:val="00B61374"/>
    <w:rsid w:val="00B6483D"/>
    <w:rsid w:val="00B8725F"/>
    <w:rsid w:val="00C50D48"/>
    <w:rsid w:val="00CF48AA"/>
    <w:rsid w:val="00D026DA"/>
    <w:rsid w:val="00D92B6C"/>
    <w:rsid w:val="00E3721B"/>
    <w:rsid w:val="00E76739"/>
    <w:rsid w:val="00E9066F"/>
    <w:rsid w:val="00EA27B7"/>
    <w:rsid w:val="00F217B0"/>
    <w:rsid w:val="00F9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29D395-1D59-4B56-A1C4-3A2018D9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F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FDF"/>
  </w:style>
  <w:style w:type="paragraph" w:styleId="Footer">
    <w:name w:val="footer"/>
    <w:basedOn w:val="Normal"/>
    <w:link w:val="FooterChar"/>
    <w:uiPriority w:val="99"/>
    <w:unhideWhenUsed/>
    <w:rsid w:val="00555F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4</cp:revision>
  <dcterms:created xsi:type="dcterms:W3CDTF">2018-01-15T10:24:00Z</dcterms:created>
  <dcterms:modified xsi:type="dcterms:W3CDTF">2018-01-15T10:26:00Z</dcterms:modified>
</cp:coreProperties>
</file>