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EE0832" w:rsidRPr="00730615" w:rsidP="00D2156D">
      <w:pPr>
        <w:tabs>
          <w:tab w:val="left" w:pos="1853"/>
          <w:tab w:val="center" w:pos="504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Humanities</w:t>
      </w:r>
    </w:p>
    <w:p w:rsidR="00EE0832" w:rsidRPr="00730615" w:rsidP="00D2156D">
      <w:pPr>
        <w:tabs>
          <w:tab w:val="left" w:pos="1853"/>
          <w:tab w:val="center" w:pos="5040"/>
        </w:tabs>
        <w:spacing w:after="0" w:line="480" w:lineRule="auto"/>
        <w:contextualSpacing/>
        <w:jc w:val="center"/>
        <w:rPr>
          <w:rFonts w:ascii="Times New Roman" w:hAnsi="Times New Roman" w:cs="Times New Roman"/>
          <w:sz w:val="24"/>
          <w:szCs w:val="24"/>
        </w:rPr>
      </w:pPr>
      <w:r w:rsidRPr="00730615">
        <w:rPr>
          <w:rFonts w:ascii="Times New Roman" w:hAnsi="Times New Roman" w:cs="Times New Roman"/>
          <w:sz w:val="24"/>
          <w:szCs w:val="24"/>
        </w:rPr>
        <w:t xml:space="preserve">Name </w:t>
      </w:r>
    </w:p>
    <w:p w:rsidR="00E83D63" w:rsidRPr="00730615" w:rsidP="00D2156D">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Institution</w:t>
      </w:r>
    </w:p>
    <w:p w:rsidR="00863967" w:rsidRPr="00730615"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Course</w:t>
      </w:r>
    </w:p>
    <w:p w:rsidR="004A3920" w:rsidRPr="00730615"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Date</w:t>
      </w: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990244" w:rsidRPr="00990244" w:rsidP="00990244">
      <w:pPr>
        <w:spacing w:line="480" w:lineRule="auto"/>
        <w:ind w:firstLine="720"/>
        <w:contextualSpacing/>
        <w:rPr>
          <w:rFonts w:ascii="Times New Roman" w:hAnsi="Times New Roman" w:cs="Times New Roman"/>
          <w:i/>
          <w:sz w:val="24"/>
          <w:szCs w:val="24"/>
        </w:rPr>
      </w:pPr>
      <w:r w:rsidRPr="00730615">
        <w:rPr>
          <w:rFonts w:ascii="Times New Roman" w:hAnsi="Times New Roman" w:cs="Times New Roman"/>
          <w:sz w:val="24"/>
          <w:szCs w:val="24"/>
        </w:rPr>
        <w:br w:type="page"/>
      </w:r>
      <w:r w:rsidRPr="00990244">
        <w:rPr>
          <w:rFonts w:ascii="Times New Roman" w:hAnsi="Times New Roman" w:cs="Times New Roman"/>
          <w:i/>
          <w:sz w:val="24"/>
          <w:szCs w:val="24"/>
        </w:rPr>
        <w:t xml:space="preserve">. Demonstrated knowledge of curriculum content and processes in the Humanities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Desired goals of study in this early childhood program include what we wish kids can accomplish or achieve in three other areas: Knowledge, processes, and attitudes or dispositions. Knowledge relates to this body of knowledge representing what we learn about the world. </w:t>
      </w:r>
      <w:r w:rsidRPr="00990244" w:rsidR="003C79CE">
        <w:rPr>
          <w:rFonts w:ascii="Times New Roman" w:hAnsi="Times New Roman" w:cs="Times New Roman"/>
          <w:sz w:val="24"/>
          <w:szCs w:val="24"/>
        </w:rPr>
        <w:t>Children’s</w:t>
      </w:r>
      <w:r w:rsidRPr="00990244">
        <w:rPr>
          <w:rFonts w:ascii="Times New Roman" w:hAnsi="Times New Roman" w:cs="Times New Roman"/>
          <w:sz w:val="24"/>
          <w:szCs w:val="24"/>
        </w:rPr>
        <w:t xml:space="preserve"> structure of experience grows and increases at the time, and their tendency to interact and present their education should be recognized and supported. These operations, or process skills, constitute the dynamic element of study and consider such actions as anticipating, observing, classifying, hypothesizing, experimenting, and communicating. Adults should help kids in exercising and using these skills in a variety of activities throughout the time. This can be done by demonstrating the intense interest in </w:t>
      </w:r>
      <w:r w:rsidRPr="00990244" w:rsidR="00011B98">
        <w:rPr>
          <w:rFonts w:ascii="Times New Roman" w:hAnsi="Times New Roman" w:cs="Times New Roman"/>
          <w:sz w:val="24"/>
          <w:szCs w:val="24"/>
        </w:rPr>
        <w:t>children’s</w:t>
      </w:r>
      <w:r w:rsidRPr="00990244">
        <w:rPr>
          <w:rFonts w:ascii="Times New Roman" w:hAnsi="Times New Roman" w:cs="Times New Roman"/>
          <w:sz w:val="24"/>
          <w:szCs w:val="24"/>
        </w:rPr>
        <w:t xml:space="preserve"> observations and predictions and by offering a variety of materials and contexts that receive research.</w:t>
      </w:r>
    </w:p>
    <w:p w:rsidR="00990244" w:rsidRPr="00990244" w:rsidP="0099024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(Strong, 2018).</w:t>
      </w:r>
      <w:r w:rsidRPr="00990244">
        <w:rPr>
          <w:rFonts w:ascii="Times New Roman" w:hAnsi="Times New Roman" w:cs="Times New Roman"/>
          <w:sz w:val="24"/>
          <w:szCs w:val="24"/>
        </w:rPr>
        <w:t xml:space="preserve"> Set seven knowledge bases for instructors: Subject cognition, broad education knowledge, program knowledge, education subject cognition (PCK ), cognition of learners and their characteristics, knowledge of educational context, and knowledge of educational ends, goals, and values. According to </w:t>
      </w:r>
      <w:r>
        <w:rPr>
          <w:rFonts w:ascii="Times New Roman" w:hAnsi="Times New Roman" w:cs="Times New Roman"/>
          <w:sz w:val="24"/>
          <w:szCs w:val="24"/>
        </w:rPr>
        <w:t>Strong</w:t>
      </w:r>
      <w:r w:rsidRPr="00990244">
        <w:rPr>
          <w:rFonts w:ascii="Times New Roman" w:hAnsi="Times New Roman" w:cs="Times New Roman"/>
          <w:sz w:val="24"/>
          <w:szCs w:val="24"/>
        </w:rPr>
        <w:t xml:space="preserve">, among these knowledge grounds, PCK plays the most crucial part of inefficient education. He reasoned that teachers should create PCK, which is </w:t>
      </w:r>
      <w:r w:rsidRPr="00990244" w:rsidR="00511890">
        <w:rPr>
          <w:rFonts w:ascii="Times New Roman" w:hAnsi="Times New Roman" w:cs="Times New Roman"/>
          <w:sz w:val="24"/>
          <w:szCs w:val="24"/>
        </w:rPr>
        <w:t>“this</w:t>
      </w:r>
      <w:r w:rsidRPr="00990244">
        <w:rPr>
          <w:rFonts w:ascii="Times New Roman" w:hAnsi="Times New Roman" w:cs="Times New Roman"/>
          <w:sz w:val="24"/>
          <w:szCs w:val="24"/>
        </w:rPr>
        <w:t xml:space="preserve"> primary kind of subject knowledge that embodies the expressions of knowledge most germane to its teachability."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Most research on the relation between teaching and teachers' subject knowledge and education subject knowledge (PCK) in the study has focused on senior high school teachers. PCK is a related concept to MKT; PCK relates to knowledge of teaching progressions related with specific constructs; countries where students are expected to have misconceptions; and illustrations, representations, and explanations that are appropriate for particular concepts. At </w:t>
      </w:r>
      <w:r w:rsidRPr="00990244">
        <w:rPr>
          <w:rFonts w:ascii="Times New Roman" w:hAnsi="Times New Roman" w:cs="Times New Roman"/>
          <w:sz w:val="24"/>
          <w:szCs w:val="24"/>
        </w:rPr>
        <w:t xml:space="preserve">research on chemistry and medicine instructors, </w:t>
      </w:r>
      <w:r>
        <w:rPr>
          <w:rFonts w:ascii="Times New Roman" w:hAnsi="Times New Roman" w:cs="Times New Roman"/>
          <w:sz w:val="24"/>
          <w:szCs w:val="24"/>
        </w:rPr>
        <w:t>(</w:t>
      </w:r>
      <w:r w:rsidRPr="00990244">
        <w:rPr>
          <w:rFonts w:ascii="Times New Roman" w:hAnsi="Times New Roman" w:cs="Times New Roman"/>
          <w:sz w:val="24"/>
          <w:szCs w:val="24"/>
        </w:rPr>
        <w:t xml:space="preserve">Brophy </w:t>
      </w:r>
      <w:r>
        <w:rPr>
          <w:rFonts w:ascii="Times New Roman" w:hAnsi="Times New Roman" w:cs="Times New Roman"/>
          <w:sz w:val="24"/>
          <w:szCs w:val="24"/>
        </w:rPr>
        <w:t>et al. 2019)</w:t>
      </w:r>
      <w:r w:rsidRPr="00990244">
        <w:rPr>
          <w:rFonts w:ascii="Times New Roman" w:hAnsi="Times New Roman" w:cs="Times New Roman"/>
          <w:sz w:val="24"/>
          <w:szCs w:val="24"/>
        </w:rPr>
        <w:t>.have also documented the association between alterations in teacher cognition and field education.</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We now have two models within which to demonstrate program knowledge categories and coordinate learning activities-the subject-oriented program constructed in the theoretical studies, and this process-oriented program been built in the processes associated with the acquisition and utilization of knowledge, though the latter needs to be expanded to include social processes as well. This subject-oriented way seems to be least fitting to the immediate demands of minority students, but it has this power of practice behind it and services purposes compatible with the requirements of the society at large, and, Therefore, cannot be disregarded. This process-oriented way, in contrast, has more significant potential for the writing of program knowledge to suit different social backgrounds but does not adequately make the knowledge into a common experiential framework where it can be tested</w:t>
      </w:r>
      <w:r w:rsidR="00011B98">
        <w:rPr>
          <w:rFonts w:ascii="Times New Roman" w:hAnsi="Times New Roman" w:cs="Times New Roman"/>
          <w:sz w:val="24"/>
          <w:szCs w:val="24"/>
        </w:rPr>
        <w:t xml:space="preserve"> against reality and put to use (Schulte, </w:t>
      </w:r>
      <w:r w:rsidRPr="00011B98" w:rsidR="00011B98">
        <w:rPr>
          <w:rFonts w:ascii="Times New Roman" w:hAnsi="Times New Roman" w:cs="Times New Roman"/>
          <w:sz w:val="24"/>
          <w:szCs w:val="24"/>
        </w:rPr>
        <w:t>2017).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 </w:t>
      </w:r>
      <w:r w:rsidRPr="00990244">
        <w:rPr>
          <w:rFonts w:ascii="Times New Roman" w:hAnsi="Times New Roman" w:cs="Times New Roman"/>
          <w:i/>
          <w:sz w:val="24"/>
          <w:szCs w:val="24"/>
        </w:rPr>
        <w:t>Effective use of research-based literature and curriculum framework to support the rationale for the focus, content, resources and pedagogical processes used in the lesson sequence</w:t>
      </w:r>
      <w:r w:rsidRPr="00990244">
        <w:rPr>
          <w:rFonts w:ascii="Times New Roman" w:hAnsi="Times New Roman" w:cs="Times New Roman"/>
          <w:sz w:val="24"/>
          <w:szCs w:val="24"/>
        </w:rPr>
        <w:t xml:space="preserve">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From the Abstract: The article presents the initial attempt towards developing the theory for writing a useful literature review. The target audience for this model are novice IS investigators or other researchers who are always fighting with the development of the efficient literature-based education for the proposed research. The proposed model is the systematic information process approach consisted of three significant levels: (</w:t>
      </w:r>
      <w:r w:rsidRPr="00990244" w:rsidR="00011B98">
        <w:rPr>
          <w:rFonts w:ascii="Times New Roman" w:hAnsi="Times New Roman" w:cs="Times New Roman"/>
          <w:sz w:val="24"/>
          <w:szCs w:val="24"/>
        </w:rPr>
        <w:t>1)</w:t>
      </w:r>
      <w:r w:rsidRPr="00990244">
        <w:rPr>
          <w:rFonts w:ascii="Times New Roman" w:hAnsi="Times New Roman" w:cs="Times New Roman"/>
          <w:sz w:val="24"/>
          <w:szCs w:val="24"/>
        </w:rPr>
        <w:t xml:space="preserve"> inputs (literature gathering and testing</w:t>
      </w:r>
      <w:r w:rsidRPr="00990244" w:rsidR="00C96CA0">
        <w:rPr>
          <w:rFonts w:ascii="Times New Roman" w:hAnsi="Times New Roman" w:cs="Times New Roman"/>
          <w:sz w:val="24"/>
          <w:szCs w:val="24"/>
        </w:rPr>
        <w:t>);</w:t>
      </w:r>
      <w:r w:rsidRPr="00990244">
        <w:rPr>
          <w:rFonts w:ascii="Times New Roman" w:hAnsi="Times New Roman" w:cs="Times New Roman"/>
          <w:sz w:val="24"/>
          <w:szCs w:val="24"/>
        </w:rPr>
        <w:t xml:space="preserve"> (</w:t>
      </w:r>
      <w:r w:rsidRPr="00990244" w:rsidR="00C96CA0">
        <w:rPr>
          <w:rFonts w:ascii="Times New Roman" w:hAnsi="Times New Roman" w:cs="Times New Roman"/>
          <w:sz w:val="24"/>
          <w:szCs w:val="24"/>
        </w:rPr>
        <w:t>2)</w:t>
      </w:r>
      <w:r w:rsidRPr="00990244">
        <w:rPr>
          <w:rFonts w:ascii="Times New Roman" w:hAnsi="Times New Roman" w:cs="Times New Roman"/>
          <w:sz w:val="24"/>
          <w:szCs w:val="24"/>
        </w:rPr>
        <w:t xml:space="preserve"> process (Blooms </w:t>
      </w:r>
      <w:r w:rsidRPr="00990244" w:rsidR="00C96CA0">
        <w:rPr>
          <w:rFonts w:ascii="Times New Roman" w:hAnsi="Times New Roman" w:cs="Times New Roman"/>
          <w:sz w:val="24"/>
          <w:szCs w:val="24"/>
        </w:rPr>
        <w:t>Taxonomy)</w:t>
      </w:r>
      <w:r w:rsidRPr="00990244">
        <w:rPr>
          <w:rFonts w:ascii="Times New Roman" w:hAnsi="Times New Roman" w:cs="Times New Roman"/>
          <w:sz w:val="24"/>
          <w:szCs w:val="24"/>
        </w:rPr>
        <w:t>; and (</w:t>
      </w:r>
      <w:r w:rsidRPr="00990244" w:rsidR="00C96CA0">
        <w:rPr>
          <w:rFonts w:ascii="Times New Roman" w:hAnsi="Times New Roman" w:cs="Times New Roman"/>
          <w:sz w:val="24"/>
          <w:szCs w:val="24"/>
        </w:rPr>
        <w:t>3)</w:t>
      </w:r>
      <w:r w:rsidRPr="00990244">
        <w:rPr>
          <w:rFonts w:ascii="Times New Roman" w:hAnsi="Times New Roman" w:cs="Times New Roman"/>
          <w:sz w:val="24"/>
          <w:szCs w:val="24"/>
        </w:rPr>
        <w:t xml:space="preserve"> outputs (writing the review</w:t>
      </w:r>
      <w:r w:rsidRPr="00990244" w:rsidR="00C96CA0">
        <w:rPr>
          <w:rFonts w:ascii="Times New Roman" w:hAnsi="Times New Roman" w:cs="Times New Roman"/>
          <w:sz w:val="24"/>
          <w:szCs w:val="24"/>
        </w:rPr>
        <w:t xml:space="preserve">). </w:t>
      </w:r>
      <w:r w:rsidRPr="00990244">
        <w:rPr>
          <w:rFonts w:ascii="Times New Roman" w:hAnsi="Times New Roman" w:cs="Times New Roman"/>
          <w:sz w:val="24"/>
          <w:szCs w:val="24"/>
        </w:rPr>
        <w:t xml:space="preserve">This article offers the explanation for developing a useful literature review and addresses the center stage: </w:t>
      </w:r>
      <w:r w:rsidRPr="00990244">
        <w:rPr>
          <w:rFonts w:ascii="Times New Roman" w:hAnsi="Times New Roman" w:cs="Times New Roman"/>
          <w:sz w:val="24"/>
          <w:szCs w:val="24"/>
        </w:rPr>
        <w:t xml:space="preserve">Processing the writing. This article concludes by providing arguments for the value of the effective literature </w:t>
      </w:r>
      <w:r w:rsidRPr="00990244" w:rsidR="00011B98">
        <w:rPr>
          <w:rFonts w:ascii="Times New Roman" w:hAnsi="Times New Roman" w:cs="Times New Roman"/>
          <w:sz w:val="24"/>
          <w:szCs w:val="24"/>
        </w:rPr>
        <w:t>review,</w:t>
      </w:r>
      <w:r w:rsidRPr="00990244">
        <w:rPr>
          <w:rFonts w:ascii="Times New Roman" w:hAnsi="Times New Roman" w:cs="Times New Roman"/>
          <w:sz w:val="24"/>
          <w:szCs w:val="24"/>
        </w:rPr>
        <w:t xml:space="preserve"> too as implications for future study in the proposed model.</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Education theory the education model for the literature-based part of the study reported here was worked by </w:t>
      </w:r>
      <w:r w:rsidR="00011B98">
        <w:rPr>
          <w:rFonts w:ascii="Times New Roman" w:hAnsi="Times New Roman" w:cs="Times New Roman"/>
          <w:sz w:val="24"/>
          <w:szCs w:val="24"/>
        </w:rPr>
        <w:t>(</w:t>
      </w:r>
      <w:r w:rsidRPr="00011B98" w:rsidR="00011B98">
        <w:rPr>
          <w:rFonts w:ascii="Times New Roman" w:hAnsi="Times New Roman" w:cs="Times New Roman"/>
          <w:sz w:val="24"/>
          <w:szCs w:val="24"/>
        </w:rPr>
        <w:t>Far</w:t>
      </w:r>
      <w:r w:rsidR="00011B98">
        <w:rPr>
          <w:rFonts w:ascii="Times New Roman" w:hAnsi="Times New Roman" w:cs="Times New Roman"/>
          <w:sz w:val="24"/>
          <w:szCs w:val="24"/>
        </w:rPr>
        <w:t xml:space="preserve">ris, P &amp; Werderich, </w:t>
      </w:r>
      <w:r w:rsidRPr="00011B98" w:rsidR="00011B98">
        <w:rPr>
          <w:rFonts w:ascii="Times New Roman" w:hAnsi="Times New Roman" w:cs="Times New Roman"/>
          <w:sz w:val="24"/>
          <w:szCs w:val="24"/>
        </w:rPr>
        <w:t>2019</w:t>
      </w:r>
      <w:r w:rsidR="00011B98">
        <w:rPr>
          <w:rFonts w:ascii="Times New Roman" w:hAnsi="Times New Roman" w:cs="Times New Roman"/>
          <w:sz w:val="24"/>
          <w:szCs w:val="24"/>
        </w:rPr>
        <w:t xml:space="preserve">) </w:t>
      </w:r>
      <w:r w:rsidRPr="00990244">
        <w:rPr>
          <w:rFonts w:ascii="Times New Roman" w:hAnsi="Times New Roman" w:cs="Times New Roman"/>
          <w:sz w:val="24"/>
          <w:szCs w:val="24"/>
        </w:rPr>
        <w:t xml:space="preserve">at which </w:t>
      </w:r>
      <w:r w:rsidRPr="00990244" w:rsidR="00011B98">
        <w:rPr>
          <w:rFonts w:ascii="Times New Roman" w:hAnsi="Times New Roman" w:cs="Times New Roman"/>
          <w:sz w:val="24"/>
          <w:szCs w:val="24"/>
        </w:rPr>
        <w:t>they presented</w:t>
      </w:r>
      <w:r w:rsidRPr="00990244">
        <w:rPr>
          <w:rFonts w:ascii="Times New Roman" w:hAnsi="Times New Roman" w:cs="Times New Roman"/>
          <w:sz w:val="24"/>
          <w:szCs w:val="24"/>
        </w:rPr>
        <w:t xml:space="preserve"> the critique of research and professional literature on critical literacy pedagogy. They synthesized this related writing into the following dimensions for producing important education: 1) disrupting this commonplace, 2) interrogating multiple viewpoints, 3) concentrating on sociopolitical matters, and 4) taking action and promoting social justice. Disrupting the commonplace is depicted as seeing ordinary, everyday results through a new lens.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The production from stage 1 of the assessment process and the explanation for the program field, research, and other general and global comparators are the starting points. The study can be from the crucial components of the program Frameworks: For kids 3 – 5, 5 – 14 guidelines, Standard level, and individual Qualifications. It is crucial the education and outcome statements you make in each program for quality level give proper cognitive demand. The model for effects that experiences and consequences can go within the </w:t>
      </w:r>
      <w:r w:rsidR="00C96CA0">
        <w:rPr>
          <w:rFonts w:ascii="Times New Roman" w:hAnsi="Times New Roman" w:cs="Times New Roman"/>
          <w:sz w:val="24"/>
          <w:szCs w:val="24"/>
        </w:rPr>
        <w:t xml:space="preserve">framework of advice to teachers </w:t>
      </w:r>
      <w:r>
        <w:rPr>
          <w:rFonts w:ascii="Times New Roman" w:hAnsi="Times New Roman" w:cs="Times New Roman"/>
          <w:sz w:val="24"/>
          <w:szCs w:val="24"/>
        </w:rPr>
        <w:t xml:space="preserve">(Reimers, &amp; Chung, </w:t>
      </w:r>
      <w:r w:rsidRPr="00990244">
        <w:rPr>
          <w:rFonts w:ascii="Times New Roman" w:hAnsi="Times New Roman" w:cs="Times New Roman"/>
          <w:sz w:val="24"/>
          <w:szCs w:val="24"/>
        </w:rPr>
        <w:t>2019).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Theoretical Framework According to this research writing, effective implementation of reflection should include specific features associated with timing, information, environment, and supporting strategies used by educators. Using </w:t>
      </w:r>
      <w:r w:rsidRPr="00990244" w:rsidR="00C96CA0">
        <w:rPr>
          <w:rFonts w:ascii="Times New Roman" w:hAnsi="Times New Roman" w:cs="Times New Roman"/>
          <w:sz w:val="24"/>
          <w:szCs w:val="24"/>
        </w:rPr>
        <w:t>many</w:t>
      </w:r>
      <w:r w:rsidRPr="00990244">
        <w:rPr>
          <w:rFonts w:ascii="Times New Roman" w:hAnsi="Times New Roman" w:cs="Times New Roman"/>
          <w:sz w:val="24"/>
          <w:szCs w:val="24"/>
        </w:rPr>
        <w:t xml:space="preserve"> conclusions from the writing and our analysis of CAS programs in Turkey, we developed the framework for examining and improving authentic transformation processes for e</w:t>
      </w:r>
      <w:r w:rsidR="00C96CA0">
        <w:rPr>
          <w:rFonts w:ascii="Times New Roman" w:hAnsi="Times New Roman" w:cs="Times New Roman"/>
          <w:sz w:val="24"/>
          <w:szCs w:val="24"/>
        </w:rPr>
        <w:t>mpirical education</w:t>
      </w:r>
      <w:r w:rsidRPr="00990244">
        <w:rPr>
          <w:rFonts w:ascii="Times New Roman" w:hAnsi="Times New Roman" w:cs="Times New Roman"/>
          <w:sz w:val="24"/>
          <w:szCs w:val="24"/>
        </w:rPr>
        <w:t>. We suggest that the model will assist teachers and researchers in supporting and conceptualizing the motivations of students toward the more reliable transformation process.</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Technical education content knowledge (TPACK) is the theory to understand and identify the kinds of knowledge required by the teacher for effective education training in the technology-enhanced learning environment. Mishra and Koehler added the application as the modeling component to Lee Shulman's education subject knowledge (PCK) construct. They suggested that addressing subject knowledge, education knowledge, and engineering knowledge concurrently provides the framework for technology integration in the program.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br w:type="page"/>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 </w:t>
      </w:r>
      <w:r w:rsidRPr="00990244">
        <w:rPr>
          <w:rFonts w:ascii="Times New Roman" w:hAnsi="Times New Roman" w:cs="Times New Roman"/>
          <w:i/>
          <w:sz w:val="24"/>
          <w:szCs w:val="24"/>
        </w:rPr>
        <w:t>Capacity to plan a logical sequence of lessons underpinned by Inquiry-based pedagogical and assessment strategies</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Teachers design and use lessons from education practices in educational models. They are also needed to oversee and inform student portfolios to recognize and evaluate the various domains of growth. These spheres of growth include cultural, emotional, mental, personal, ethical, and artistic. Education practices are supported by the program philosophy, the goals, and aims of the content, the various student education, and developmental needs, as well as the education job. The procedures involved in the educational organization in the professional's degree are similar to that of the educational building.</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Nevertheless, designing, managing, producing, and monitoring focuses on various students, specifically. Teachers also embrace classroom management </w:t>
      </w:r>
      <w:r w:rsidRPr="00990244" w:rsidR="00011B98">
        <w:rPr>
          <w:rFonts w:ascii="Times New Roman" w:hAnsi="Times New Roman" w:cs="Times New Roman"/>
          <w:sz w:val="24"/>
          <w:szCs w:val="24"/>
        </w:rPr>
        <w:t>strategies;</w:t>
      </w:r>
      <w:r w:rsidRPr="00990244">
        <w:rPr>
          <w:rFonts w:ascii="Times New Roman" w:hAnsi="Times New Roman" w:cs="Times New Roman"/>
          <w:sz w:val="24"/>
          <w:szCs w:val="24"/>
        </w:rPr>
        <w:t xml:space="preserve"> create education approaches that encourage freedom, training, and positive learning mindsets. The instructor's classroom management style determines some aspects of the learning situation. These four styles of room administration include Authoritarian, Authoritative, lenient, and Disengaged. Moreover, teachers use a variety of supportive management and training strategies to focus the student's attention or man</w:t>
      </w:r>
      <w:r w:rsidR="00011B98">
        <w:rPr>
          <w:rFonts w:ascii="Times New Roman" w:hAnsi="Times New Roman" w:cs="Times New Roman"/>
          <w:sz w:val="24"/>
          <w:szCs w:val="24"/>
        </w:rPr>
        <w:t>age conflicts and disagreements</w:t>
      </w:r>
      <w:r w:rsidRPr="00011B98" w:rsidR="00011B98">
        <w:rPr>
          <w:rFonts w:ascii="Times New Roman" w:hAnsi="Times New Roman" w:cs="Times New Roman"/>
          <w:sz w:val="24"/>
          <w:szCs w:val="24"/>
        </w:rPr>
        <w:t xml:space="preserve"> </w:t>
      </w:r>
      <w:r w:rsidR="00011B98">
        <w:rPr>
          <w:rFonts w:ascii="Times New Roman" w:hAnsi="Times New Roman" w:cs="Times New Roman"/>
          <w:sz w:val="24"/>
          <w:szCs w:val="24"/>
        </w:rPr>
        <w:t>(</w:t>
      </w:r>
      <w:r w:rsidRPr="00011B98" w:rsidR="00011B98">
        <w:rPr>
          <w:rFonts w:ascii="Times New Roman" w:hAnsi="Times New Roman" w:cs="Times New Roman"/>
          <w:sz w:val="24"/>
          <w:szCs w:val="24"/>
        </w:rPr>
        <w:t>Burbule</w:t>
      </w:r>
      <w:r w:rsidR="00011B98">
        <w:rPr>
          <w:rFonts w:ascii="Times New Roman" w:hAnsi="Times New Roman" w:cs="Times New Roman"/>
          <w:sz w:val="24"/>
          <w:szCs w:val="24"/>
        </w:rPr>
        <w:t xml:space="preserve">s, </w:t>
      </w:r>
      <w:r w:rsidRPr="00011B98" w:rsidR="00011B98">
        <w:rPr>
          <w:rFonts w:ascii="Times New Roman" w:hAnsi="Times New Roman" w:cs="Times New Roman"/>
          <w:sz w:val="24"/>
          <w:szCs w:val="24"/>
        </w:rPr>
        <w:t>2019).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The resource is a series of 10 sequenced teaching programs, structured to work as the project-based mini-unit. It's flexible enough that it can be applied in dual subject fields as the primary education resource or as a supplement to the larger part on drug abuse or well-being. This part is concentrated on three central topics: Appropriate usage, abuse and misuse of prescription drugs, with inquiry-based examples, too as project-based examples at which students can improve communication and messaging techniques around the issue – aligned with students ' research findings of the needs in the local community.
</w:t>
      </w: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Inquiry-based education is an instructional philosophy that utilizes specific teaching methods, teaching design, and curricular techniques that can bring student curiosity and business to the forefront of education. In the inquiry-based classroom, </w:t>
      </w:r>
      <w:r w:rsidRPr="00990244" w:rsidR="00011B98">
        <w:rPr>
          <w:rFonts w:ascii="Times New Roman" w:hAnsi="Times New Roman" w:cs="Times New Roman"/>
          <w:sz w:val="24"/>
          <w:szCs w:val="24"/>
        </w:rPr>
        <w:t>teachers’</w:t>
      </w:r>
      <w:r w:rsidRPr="00990244">
        <w:rPr>
          <w:rFonts w:ascii="Times New Roman" w:hAnsi="Times New Roman" w:cs="Times New Roman"/>
          <w:sz w:val="24"/>
          <w:szCs w:val="24"/>
        </w:rPr>
        <w:t xml:space="preserve"> meaningful action is facilitating learning, rather than presenting knowledge or prescriptively delineating skills. Components of inquiry-based education are infused in all topics in St. Ignatius, but are the primary organizing rule in the study, and help bring to experience the STEAM stress at the school's academic approach.
</w:t>
      </w:r>
    </w:p>
    <w:p w:rsidR="00F65938" w:rsidP="00990244">
      <w:pPr>
        <w:spacing w:line="480" w:lineRule="auto"/>
        <w:ind w:firstLine="720"/>
        <w:contextualSpacing/>
        <w:rPr>
          <w:rFonts w:ascii="Times New Roman" w:hAnsi="Times New Roman" w:cs="Times New Roman"/>
          <w:i/>
          <w:iCs/>
          <w:sz w:val="24"/>
          <w:szCs w:val="24"/>
        </w:rPr>
      </w:pPr>
      <w:r w:rsidRPr="00990244">
        <w:rPr>
          <w:rFonts w:ascii="Times New Roman" w:hAnsi="Times New Roman" w:cs="Times New Roman"/>
          <w:sz w:val="24"/>
          <w:szCs w:val="24"/>
        </w:rPr>
        <w:t>Judgment occurs in an on-going manner when applying inquiry. In inquiry-based Education, the educator evaluates the program expectations from the Health and Physical Education program, integrating the knowledge and the result of the investigation where relevant, usually planning based on the curriculum. At inquiry-based learning, this process of questioning is even as important as the final result. Students see and demonstrate various skills at each of these phases of the investigation process, and it is these skills that will be evaluated when they are specifically related to curriculum expectations</w:t>
      </w:r>
      <w:r>
        <w:rPr>
          <w:rFonts w:ascii="Arial" w:hAnsi="Arial" w:cs="Arial"/>
          <w:color w:val="222222"/>
          <w:sz w:val="16"/>
          <w:szCs w:val="16"/>
          <w:shd w:val="clear" w:color="auto" w:fill="FFFFFF"/>
        </w:rPr>
        <w:t xml:space="preserve"> (</w:t>
      </w:r>
      <w:r>
        <w:rPr>
          <w:rFonts w:ascii="Times New Roman" w:hAnsi="Times New Roman" w:cs="Times New Roman"/>
          <w:sz w:val="24"/>
          <w:szCs w:val="24"/>
        </w:rPr>
        <w:t xml:space="preserve">Bartlett, &amp; Burton, </w:t>
      </w:r>
      <w:r w:rsidRPr="00F65938">
        <w:rPr>
          <w:rFonts w:ascii="Times New Roman" w:hAnsi="Times New Roman" w:cs="Times New Roman"/>
          <w:sz w:val="24"/>
          <w:szCs w:val="24"/>
        </w:rPr>
        <w:t>2016).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 </w:t>
      </w:r>
      <w:r w:rsidRPr="00990244">
        <w:rPr>
          <w:rFonts w:ascii="Times New Roman" w:hAnsi="Times New Roman" w:cs="Times New Roman"/>
          <w:sz w:val="24"/>
          <w:szCs w:val="24"/>
        </w:rPr>
        <w:t>It is defining the framework of the fundamental knowledge, conducting research and investigation, as set previously gives a variety of possibilities for work types and sequences that might be integrated into the scenario‐based assessment of research and inquiry skills. This adaptability of this framework set here is important, given this complicated and multifaceted world of investigation and the necessity for assessment developers to make principled decisions affecting those accomplishments that will be measured in the assessment and the tasks and situations that provide evidence of those skills.
</w:t>
      </w: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Judgment occurs in an on-going manner when applying inquiry. In inquiry-based Education, the educator evaluates the program expectations from the Health and Physical Education program, integrating the knowledge and the result of the investigation where relevant, usually planning based on the curriculum. At inquiry-based learning, this process of questioning is even as important as the final result. Students see and demonstrate various skills at each of these phases of the investigation process, and it is these skills that will be evaluated when they are specifically related to curriculum expectations.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You can apply the lesson plan for every lesson learned and documented in the edTPA teaching section. These programs should give sufficient detail so that educators scoring the edTPA will decide the series of the lesson targets and teaching tasks and actions, the application for judgment, and a description of what you and the focus learner will be doing during each lesson. If you are learning the group, including working as the co-teacher, make plans for this group teaching, including any accommodations and changes. In this case, consider just those strategies and adaptations t</w:t>
      </w:r>
      <w:r>
        <w:rPr>
          <w:rFonts w:ascii="Times New Roman" w:hAnsi="Times New Roman" w:cs="Times New Roman"/>
          <w:sz w:val="24"/>
          <w:szCs w:val="24"/>
        </w:rPr>
        <w:t>hat use to the focus individual</w:t>
      </w:r>
      <w:r w:rsidRPr="00990244">
        <w:rPr>
          <w:rFonts w:ascii="Times New Roman" w:hAnsi="Times New Roman" w:cs="Times New Roman"/>
          <w:sz w:val="24"/>
          <w:szCs w:val="24"/>
        </w:rPr>
        <w:t xml:space="preserve"> </w:t>
      </w:r>
      <w:r>
        <w:rPr>
          <w:rFonts w:ascii="Times New Roman" w:hAnsi="Times New Roman" w:cs="Times New Roman"/>
          <w:sz w:val="24"/>
          <w:szCs w:val="24"/>
        </w:rPr>
        <w:t xml:space="preserve">(Battistoni, </w:t>
      </w:r>
      <w:r w:rsidRPr="00990244">
        <w:rPr>
          <w:rFonts w:ascii="Times New Roman" w:hAnsi="Times New Roman" w:cs="Times New Roman"/>
          <w:sz w:val="24"/>
          <w:szCs w:val="24"/>
        </w:rPr>
        <w:t>2017).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Inquiry-based education is an instructional philosophy that utilizes specific teaching methods, teaching design, and curricular techniques that can bring student curiosity and business to the forefront of education. In the inquiry-based classroom, teachers' significant action is facilitating learning, rather than presenting knowledge or prescriptively delineating skills. Components of inquiry-based education are infused in all topics in St. Ignatius, but are the primary organizing rule in the study, and help bring to experience the STEAM stress at the school's academic approach.
</w:t>
      </w: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For the purpose of the assessment, two specific parts of the lesson plan and series can be directed. The first would be to see at depth in how the education of all students can be accomplished by applying the constructivist pedagogical knowledge of explicit education. This second part can be conducted at how differentiation will be used within the classroom environment to cater to the </w:t>
      </w:r>
      <w:r w:rsidR="00011B98">
        <w:rPr>
          <w:rFonts w:ascii="Times New Roman" w:hAnsi="Times New Roman" w:cs="Times New Roman"/>
          <w:sz w:val="24"/>
          <w:szCs w:val="24"/>
        </w:rPr>
        <w:t xml:space="preserve">academic needs of all </w:t>
      </w:r>
      <w:r w:rsidR="00C96CA0">
        <w:rPr>
          <w:rFonts w:ascii="Times New Roman" w:hAnsi="Times New Roman" w:cs="Times New Roman"/>
          <w:sz w:val="24"/>
          <w:szCs w:val="24"/>
        </w:rPr>
        <w:t>students’</w:t>
      </w:r>
      <w:r w:rsidR="00011B98">
        <w:rPr>
          <w:rFonts w:ascii="Times New Roman" w:hAnsi="Times New Roman" w:cs="Times New Roman"/>
          <w:sz w:val="24"/>
          <w:szCs w:val="24"/>
        </w:rPr>
        <w:t xml:space="preserve"> e</w:t>
      </w:r>
      <w:r w:rsidRPr="00990244">
        <w:rPr>
          <w:rFonts w:ascii="Times New Roman" w:hAnsi="Times New Roman" w:cs="Times New Roman"/>
          <w:sz w:val="24"/>
          <w:szCs w:val="24"/>
        </w:rPr>
        <w:t>xplicit education.</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When designing appraisal chances applying the inquiry-based teaching way, educators should take these following constructs fro</w:t>
      </w:r>
      <w:r w:rsidR="00011B98">
        <w:rPr>
          <w:rFonts w:ascii="Times New Roman" w:hAnsi="Times New Roman" w:cs="Times New Roman"/>
          <w:sz w:val="24"/>
          <w:szCs w:val="24"/>
        </w:rPr>
        <w:t>m developing individual</w:t>
      </w:r>
      <w:r w:rsidRPr="00990244">
        <w:rPr>
          <w:rFonts w:ascii="Times New Roman" w:hAnsi="Times New Roman" w:cs="Times New Roman"/>
          <w:sz w:val="24"/>
          <w:szCs w:val="24"/>
        </w:rPr>
        <w:t xml:space="preserve"> preparation: Judgment should be planned at the same time as instruction, and it sho</w:t>
      </w:r>
      <w:r w:rsidR="00011B98">
        <w:rPr>
          <w:rFonts w:ascii="Times New Roman" w:hAnsi="Times New Roman" w:cs="Times New Roman"/>
          <w:sz w:val="24"/>
          <w:szCs w:val="24"/>
        </w:rPr>
        <w:t>uld be integrated seamlessly</w:t>
      </w:r>
      <w:r w:rsidRPr="00990244">
        <w:rPr>
          <w:rFonts w:ascii="Times New Roman" w:hAnsi="Times New Roman" w:cs="Times New Roman"/>
          <w:sz w:val="24"/>
          <w:szCs w:val="24"/>
        </w:rPr>
        <w:t xml:space="preserve"> criteria: Established criteria for assessment and evaluation should be shared with students or co-constructed with students prior to learning. Students' job should be cited for classification and evaluation purposes to established standards, rather than by comparing with the job done by different students.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Broadly, the requirements for edTPA include multiple intimate assessments across examples, classification of students ’ prior learning to be the teaching series, appraisal of student sound, and the formal assessment summarizing student learning of the lesson sequence. Additionally, this formal assessment should include the evaluation criteria, though brief assessment measures would be demonstrated for each classification included in this portfolio.</w:t>
      </w: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i/>
          <w:sz w:val="24"/>
          <w:szCs w:val="24"/>
        </w:rPr>
      </w:pPr>
      <w:r w:rsidRPr="00990244">
        <w:rPr>
          <w:rFonts w:ascii="Times New Roman" w:hAnsi="Times New Roman" w:cs="Times New Roman"/>
          <w:i/>
          <w:sz w:val="24"/>
          <w:szCs w:val="24"/>
        </w:rPr>
        <w:t>Explicit consideration of safe, responsible, and ethical use of all resources and supports, including ICTs and Digital Technologies. 
</w:t>
      </w: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sz w:val="24"/>
          <w:szCs w:val="24"/>
        </w:rPr>
      </w:pP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Digital citizenship is defined as the good, moral, accountable, and informed usage of technology. The idea encompasses a variety of accomplishments and </w:t>
      </w:r>
      <w:r w:rsidRPr="00990244" w:rsidR="00011B98">
        <w:rPr>
          <w:rFonts w:ascii="Times New Roman" w:hAnsi="Times New Roman" w:cs="Times New Roman"/>
          <w:sz w:val="24"/>
          <w:szCs w:val="24"/>
        </w:rPr>
        <w:t>literacy’s</w:t>
      </w:r>
      <w:r w:rsidRPr="00990244">
        <w:rPr>
          <w:rFonts w:ascii="Times New Roman" w:hAnsi="Times New Roman" w:cs="Times New Roman"/>
          <w:sz w:val="24"/>
          <w:szCs w:val="24"/>
        </w:rPr>
        <w:t xml:space="preserve"> that may include net safety, privacy and security, </w:t>
      </w:r>
      <w:r w:rsidRPr="00990244" w:rsidR="00011B98">
        <w:rPr>
          <w:rFonts w:ascii="Times New Roman" w:hAnsi="Times New Roman" w:cs="Times New Roman"/>
          <w:sz w:val="24"/>
          <w:szCs w:val="24"/>
        </w:rPr>
        <w:t>cyberbullying</w:t>
      </w:r>
      <w:r w:rsidRPr="00990244">
        <w:rPr>
          <w:rFonts w:ascii="Times New Roman" w:hAnsi="Times New Roman" w:cs="Times New Roman"/>
          <w:sz w:val="24"/>
          <w:szCs w:val="24"/>
        </w:rPr>
        <w:t>, online reputation management, communication skills, data skill, and creative credit and copyright. Enhanced connectivity increases this value of education learner</w:t>
      </w:r>
      <w:r w:rsidR="00011B98">
        <w:rPr>
          <w:rFonts w:ascii="Times New Roman" w:hAnsi="Times New Roman" w:cs="Times New Roman"/>
          <w:sz w:val="24"/>
          <w:szCs w:val="24"/>
        </w:rPr>
        <w:t>s how to turn into responsible</w:t>
      </w:r>
      <w:r w:rsidRPr="00990244">
        <w:rPr>
          <w:rFonts w:ascii="Times New Roman" w:hAnsi="Times New Roman" w:cs="Times New Roman"/>
          <w:sz w:val="24"/>
          <w:szCs w:val="24"/>
        </w:rPr>
        <w:t xml:space="preserve"> digital citizens. Educators want to take the development of these competencies, so students learn how to apply technology in ways that are important, creative, courteous, and secure. For instance, helping students teach proper online etiquette, how their data may be gathered and applied online, and how to provide access to the international group to change the world around them can help prepare them for successfully navigating life in a connected world. Mastering these skills requires the fundamental under- position of the engineering tools and the ability to make increasingly good judgments about the purpose of them in teaching and everyday life.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As said within the NETs value for digital citizenship, students are required to `` propose and learn safe, legitimate and accountable use of knowledge and engineering '' (</w:t>
      </w:r>
      <w:r w:rsidRPr="00F65938" w:rsidR="00011B98">
        <w:rPr>
          <w:rFonts w:ascii="Times New Roman" w:hAnsi="Times New Roman" w:cs="Times New Roman"/>
          <w:sz w:val="24"/>
          <w:szCs w:val="24"/>
        </w:rPr>
        <w:t>Gar</w:t>
      </w:r>
      <w:r w:rsidR="00011B98">
        <w:rPr>
          <w:rFonts w:ascii="Times New Roman" w:hAnsi="Times New Roman" w:cs="Times New Roman"/>
          <w:sz w:val="24"/>
          <w:szCs w:val="24"/>
        </w:rPr>
        <w:t>ston, &amp;</w:t>
      </w:r>
      <w:r w:rsidR="00F65938">
        <w:rPr>
          <w:rFonts w:ascii="Times New Roman" w:hAnsi="Times New Roman" w:cs="Times New Roman"/>
          <w:sz w:val="24"/>
          <w:szCs w:val="24"/>
        </w:rPr>
        <w:t xml:space="preserve"> Wellman, </w:t>
      </w:r>
      <w:r w:rsidRPr="00F65938" w:rsidR="00F65938">
        <w:rPr>
          <w:rFonts w:ascii="Times New Roman" w:hAnsi="Times New Roman" w:cs="Times New Roman"/>
          <w:sz w:val="24"/>
          <w:szCs w:val="24"/>
        </w:rPr>
        <w:t>2016). </w:t>
      </w:r>
      <w:r w:rsidRPr="00990244">
        <w:rPr>
          <w:rFonts w:ascii="Times New Roman" w:hAnsi="Times New Roman" w:cs="Times New Roman"/>
          <w:sz w:val="24"/>
          <w:szCs w:val="24"/>
        </w:rPr>
        <w:t xml:space="preserve"> Digital rights and duties call the element of the value. Parents and educators want to get together, use free resources, and make opportunities for our students that encourage good, legitimate, and responsible use of technology. With access to so many other sites, it is really easy to abuse technology.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Efficient usage: Even when women have cheap, unfettered, and secure access to ICT, the digital divide remains. Women encounter obstacles to utilize ICT because of the training and skill gaps effectively. These translate to lower technical skills or the digital skill gap. Females also experience the need of relatable knowledge and are subject to gender-based violence on the </w:t>
      </w:r>
      <w:r w:rsidRPr="00990244">
        <w:rPr>
          <w:rFonts w:ascii="Times New Roman" w:hAnsi="Times New Roman" w:cs="Times New Roman"/>
          <w:sz w:val="24"/>
          <w:szCs w:val="24"/>
        </w:rPr>
        <w:t>Internet. Both bring to deflating the apparent amount of accessing the net for females, which restrict their investment of time and resources at it.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Usage of ICT for more exceptional education and studying: That includes that growth and investigation of digital texts and different digital teaching resources, and </w:t>
      </w:r>
      <w:r w:rsidRPr="00990244" w:rsidR="00011B98">
        <w:rPr>
          <w:rFonts w:ascii="Times New Roman" w:hAnsi="Times New Roman" w:cs="Times New Roman"/>
          <w:sz w:val="24"/>
          <w:szCs w:val="24"/>
        </w:rPr>
        <w:t>this</w:t>
      </w:r>
      <w:r w:rsidRPr="00990244">
        <w:rPr>
          <w:rFonts w:ascii="Times New Roman" w:hAnsi="Times New Roman" w:cs="Times New Roman"/>
          <w:sz w:val="24"/>
          <w:szCs w:val="24"/>
        </w:rPr>
        <w:t xml:space="preserve"> supply of the ultra high-speed wireless local area network (</w:t>
      </w:r>
      <w:r w:rsidRPr="00990244" w:rsidR="00F65938">
        <w:rPr>
          <w:rFonts w:ascii="Times New Roman" w:hAnsi="Times New Roman" w:cs="Times New Roman"/>
          <w:sz w:val="24"/>
          <w:szCs w:val="24"/>
        </w:rPr>
        <w:t>LAN)</w:t>
      </w:r>
      <w:r w:rsidRPr="00990244">
        <w:rPr>
          <w:rFonts w:ascii="Times New Roman" w:hAnsi="Times New Roman" w:cs="Times New Roman"/>
          <w:sz w:val="24"/>
          <w:szCs w:val="24"/>
        </w:rPr>
        <w:t xml:space="preserve"> to support the one-to-one computing initiative and other ICT tools, such as digital blackboards and digital TVs.</w:t>
      </w:r>
      <w:r w:rsidRPr="00F65938" w:rsidR="00F65938">
        <w:rPr>
          <w:rFonts w:ascii="Arial" w:hAnsi="Arial" w:cs="Arial"/>
          <w:color w:val="222222"/>
          <w:sz w:val="20"/>
          <w:szCs w:val="20"/>
          <w:shd w:val="clear" w:color="auto" w:fill="FFFFFF"/>
        </w:rPr>
        <w:t xml:space="preserve"> </w:t>
      </w:r>
      <w:r w:rsidR="00F65938">
        <w:rPr>
          <w:rFonts w:ascii="Arial" w:hAnsi="Arial" w:cs="Arial"/>
          <w:color w:val="222222"/>
          <w:sz w:val="20"/>
          <w:szCs w:val="20"/>
          <w:shd w:val="clear" w:color="auto" w:fill="FFFFFF"/>
        </w:rPr>
        <w:t>(</w:t>
      </w:r>
      <w:r w:rsidR="00F65938">
        <w:rPr>
          <w:rFonts w:ascii="Times New Roman" w:hAnsi="Times New Roman" w:cs="Times New Roman"/>
          <w:sz w:val="24"/>
          <w:szCs w:val="24"/>
        </w:rPr>
        <w:t xml:space="preserve">Bowen, &amp; Fincher, </w:t>
      </w:r>
      <w:r w:rsidRPr="00F65938" w:rsidR="00F65938">
        <w:rPr>
          <w:rFonts w:ascii="Times New Roman" w:hAnsi="Times New Roman" w:cs="Times New Roman"/>
          <w:sz w:val="24"/>
          <w:szCs w:val="24"/>
        </w:rPr>
        <w:t xml:space="preserve">2018).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Make digital citizens. </w:t>
      </w:r>
      <w:r w:rsidRPr="00990244" w:rsidR="00F65938">
        <w:rPr>
          <w:rFonts w:ascii="Times New Roman" w:hAnsi="Times New Roman" w:cs="Times New Roman"/>
          <w:sz w:val="24"/>
          <w:szCs w:val="24"/>
        </w:rPr>
        <w:t>Cyberbullying</w:t>
      </w:r>
      <w:r w:rsidRPr="00990244">
        <w:rPr>
          <w:rFonts w:ascii="Times New Roman" w:hAnsi="Times New Roman" w:cs="Times New Roman"/>
          <w:sz w:val="24"/>
          <w:szCs w:val="24"/>
        </w:rPr>
        <w:t xml:space="preserve"> is objective in the world. It is crucial to inform children that these same principles use in and out of the digital world. Clearly teach students how to remain cyber secure and savvy. CSRIU (the centre for good and Responsible Internet usage) offers some free handouts tailored by grade point to teach students how to stay good online. Microsoft still offers a free education system to learn digital citizenship and ethical use of technology. More like principles are taught, digital citizenship can be conveyed through explicit instruction. Increase awareness. Awareness is strong. It alters cultural perceptions. Rather than make fear around technology usage or spread misunderstandings, awareness allows the positive atmosphere to grow. Place </w:t>
      </w:r>
      <w:r w:rsidRPr="00990244" w:rsidR="00011B98">
        <w:rPr>
          <w:rFonts w:ascii="Times New Roman" w:hAnsi="Times New Roman" w:cs="Times New Roman"/>
          <w:sz w:val="24"/>
          <w:szCs w:val="24"/>
        </w:rPr>
        <w:t>cyberbullying</w:t>
      </w:r>
      <w:r w:rsidRPr="00990244">
        <w:rPr>
          <w:rFonts w:ascii="Times New Roman" w:hAnsi="Times New Roman" w:cs="Times New Roman"/>
          <w:sz w:val="24"/>
          <w:szCs w:val="24"/>
        </w:rPr>
        <w:t xml:space="preserve"> in the spotlight at the </w:t>
      </w:r>
      <w:r w:rsidRPr="00990244" w:rsidR="00011B98">
        <w:rPr>
          <w:rFonts w:ascii="Times New Roman" w:hAnsi="Times New Roman" w:cs="Times New Roman"/>
          <w:sz w:val="24"/>
          <w:szCs w:val="24"/>
        </w:rPr>
        <w:t>classroom. Teach</w:t>
      </w:r>
      <w:r w:rsidRPr="00990244">
        <w:rPr>
          <w:rFonts w:ascii="Times New Roman" w:hAnsi="Times New Roman" w:cs="Times New Roman"/>
          <w:sz w:val="24"/>
          <w:szCs w:val="24"/>
        </w:rPr>
        <w:t xml:space="preserve"> students about the mental and legal complications. Explore topics like engineering hazards, cyber safety, and supportive online communities. Learn about age-appropriate causes of </w:t>
      </w:r>
      <w:r w:rsidRPr="00990244" w:rsidR="00011B98">
        <w:rPr>
          <w:rFonts w:ascii="Times New Roman" w:hAnsi="Times New Roman" w:cs="Times New Roman"/>
          <w:sz w:val="24"/>
          <w:szCs w:val="24"/>
        </w:rPr>
        <w:t>cyberbullying</w:t>
      </w:r>
      <w:r w:rsidRPr="00990244">
        <w:rPr>
          <w:rFonts w:ascii="Times New Roman" w:hAnsi="Times New Roman" w:cs="Times New Roman"/>
          <w:sz w:val="24"/>
          <w:szCs w:val="24"/>
        </w:rPr>
        <w:t xml:space="preserve"> and their determination. Showcase how technology is being used to improve people in the group — present students how they will utilize technology for this greater good.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Learning for ability with digital technologies introd</w:t>
      </w:r>
      <w:r w:rsidR="00C96CA0">
        <w:rPr>
          <w:rFonts w:ascii="Times New Roman" w:hAnsi="Times New Roman" w:cs="Times New Roman"/>
          <w:sz w:val="24"/>
          <w:szCs w:val="24"/>
        </w:rPr>
        <w:t>uces challenges at two fields</w:t>
      </w:r>
      <w:r w:rsidRPr="00990244">
        <w:rPr>
          <w:rFonts w:ascii="Times New Roman" w:hAnsi="Times New Roman" w:cs="Times New Roman"/>
          <w:sz w:val="24"/>
          <w:szCs w:val="24"/>
        </w:rPr>
        <w:t xml:space="preserve"> </w:t>
      </w:r>
      <w:r w:rsidRPr="00990244" w:rsidR="00C96CA0">
        <w:rPr>
          <w:rFonts w:ascii="Times New Roman" w:hAnsi="Times New Roman" w:cs="Times New Roman"/>
          <w:sz w:val="24"/>
          <w:szCs w:val="24"/>
        </w:rPr>
        <w:t>“the</w:t>
      </w:r>
      <w:r w:rsidRPr="00990244">
        <w:rPr>
          <w:rFonts w:ascii="Times New Roman" w:hAnsi="Times New Roman" w:cs="Times New Roman"/>
          <w:sz w:val="24"/>
          <w:szCs w:val="24"/>
        </w:rPr>
        <w:t xml:space="preserve"> usage of ICT to aid ability in conventional </w:t>
      </w:r>
      <w:r w:rsidRPr="00990244" w:rsidR="00C96CA0">
        <w:rPr>
          <w:rFonts w:ascii="Times New Roman" w:hAnsi="Times New Roman" w:cs="Times New Roman"/>
          <w:sz w:val="24"/>
          <w:szCs w:val="24"/>
        </w:rPr>
        <w:t>contexts,</w:t>
      </w:r>
      <w:r w:rsidRPr="00990244">
        <w:rPr>
          <w:rFonts w:ascii="Times New Roman" w:hAnsi="Times New Roman" w:cs="Times New Roman"/>
          <w:sz w:val="24"/>
          <w:szCs w:val="24"/>
        </w:rPr>
        <w:t xml:space="preserve"> e.g., schools, and the growth of ICT resources to support innovation in new learning environments for creative activity and </w:t>
      </w:r>
      <w:r w:rsidRPr="00990244">
        <w:rPr>
          <w:rFonts w:ascii="Times New Roman" w:hAnsi="Times New Roman" w:cs="Times New Roman"/>
          <w:sz w:val="24"/>
          <w:szCs w:val="24"/>
        </w:rPr>
        <w:t xml:space="preserve">collaboration. Within these more usual contexts of schools and classrooms, simulations of access to ICT resources should manifest features of creative </w:t>
      </w:r>
      <w:r>
        <w:rPr>
          <w:rFonts w:ascii="Times New Roman" w:hAnsi="Times New Roman" w:cs="Times New Roman"/>
          <w:sz w:val="24"/>
          <w:szCs w:val="24"/>
        </w:rPr>
        <w:t xml:space="preserve">(Bryman, </w:t>
      </w:r>
      <w:r w:rsidRPr="00990244">
        <w:rPr>
          <w:rFonts w:ascii="Times New Roman" w:hAnsi="Times New Roman" w:cs="Times New Roman"/>
          <w:sz w:val="24"/>
          <w:szCs w:val="24"/>
        </w:rPr>
        <w:t>2016). </w:t>
      </w:r>
    </w:p>
    <w:p w:rsidR="00990244" w:rsidRPr="00990244" w:rsidP="00990244">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These important areas are expected to include the growth of resources (structure and digital knowledge), business development (ICT use and education), and program improvement (ICT capability and ICT use in subjects). The developing function of ICT for government is distinct information. Ofsted describes great ICT development programs as people who `` get the strategic view of developments in staff expertise, resources, and schedule and try to correct these. ''
</w:t>
      </w:r>
    </w:p>
    <w:p w:rsidR="00990244" w:rsidRPr="00990244" w:rsidP="00990244">
      <w:pPr>
        <w:spacing w:line="480" w:lineRule="auto"/>
        <w:ind w:firstLine="720"/>
        <w:contextualSpacing/>
        <w:rPr>
          <w:rFonts w:ascii="Times New Roman" w:hAnsi="Times New Roman" w:cs="Times New Roman"/>
          <w:sz w:val="24"/>
          <w:szCs w:val="24"/>
        </w:rPr>
      </w:pPr>
    </w:p>
    <w:p w:rsidR="00990244">
      <w:pPr>
        <w:rPr>
          <w:rFonts w:ascii="Times New Roman" w:hAnsi="Times New Roman" w:cs="Times New Roman"/>
          <w:sz w:val="24"/>
          <w:szCs w:val="24"/>
        </w:rPr>
      </w:pPr>
      <w:r>
        <w:rPr>
          <w:rFonts w:ascii="Times New Roman" w:hAnsi="Times New Roman" w:cs="Times New Roman"/>
          <w:sz w:val="24"/>
          <w:szCs w:val="24"/>
        </w:rPr>
        <w:br w:type="page"/>
      </w:r>
    </w:p>
    <w:p w:rsidR="000E2CB2" w:rsidP="0099024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w:t>
      </w:r>
    </w:p>
    <w:p w:rsidR="00C96CA0" w:rsidP="00C96CA0">
      <w:pPr>
        <w:spacing w:line="480" w:lineRule="auto"/>
        <w:ind w:left="720" w:hanging="720"/>
        <w:contextualSpacing/>
        <w:rPr>
          <w:rFonts w:ascii="Times New Roman" w:hAnsi="Times New Roman" w:cs="Times New Roman"/>
          <w:sz w:val="24"/>
          <w:szCs w:val="24"/>
        </w:rPr>
      </w:pPr>
      <w:r w:rsidRPr="00F65938">
        <w:rPr>
          <w:rFonts w:ascii="Times New Roman" w:hAnsi="Times New Roman" w:cs="Times New Roman"/>
          <w:sz w:val="24"/>
          <w:szCs w:val="24"/>
        </w:rPr>
        <w:t>Bartlett, S., &amp; Burton, D. (2016). </w:t>
      </w:r>
      <w:r w:rsidRPr="00F65938">
        <w:rPr>
          <w:rFonts w:ascii="Times New Roman" w:hAnsi="Times New Roman" w:cs="Times New Roman"/>
          <w:i/>
          <w:iCs/>
          <w:sz w:val="24"/>
          <w:szCs w:val="24"/>
        </w:rPr>
        <w:t>Introduction to education studies</w:t>
      </w:r>
      <w:r w:rsidRPr="00F65938">
        <w:rPr>
          <w:rFonts w:ascii="Times New Roman" w:hAnsi="Times New Roman" w:cs="Times New Roman"/>
          <w:sz w:val="24"/>
          <w:szCs w:val="24"/>
        </w:rPr>
        <w:t>. Sage.</w:t>
      </w:r>
    </w:p>
    <w:p w:rsidR="00C96CA0" w:rsidP="00C96CA0">
      <w:pPr>
        <w:spacing w:line="480" w:lineRule="auto"/>
        <w:ind w:left="720" w:hanging="720"/>
        <w:contextualSpacing/>
        <w:rPr>
          <w:rFonts w:ascii="Times New Roman" w:hAnsi="Times New Roman" w:cs="Times New Roman"/>
          <w:sz w:val="24"/>
          <w:szCs w:val="24"/>
        </w:rPr>
      </w:pPr>
      <w:r w:rsidRPr="00990244">
        <w:rPr>
          <w:rFonts w:ascii="Times New Roman" w:hAnsi="Times New Roman" w:cs="Times New Roman"/>
          <w:sz w:val="24"/>
          <w:szCs w:val="24"/>
        </w:rPr>
        <w:t xml:space="preserve">Battistoni, R. M., (2017). </w:t>
      </w:r>
      <w:r w:rsidRPr="00990244">
        <w:rPr>
          <w:rFonts w:ascii="Times New Roman" w:hAnsi="Times New Roman" w:cs="Times New Roman"/>
          <w:i/>
          <w:iCs/>
          <w:sz w:val="24"/>
          <w:szCs w:val="24"/>
        </w:rPr>
        <w:t>Civic engagement across the curriculum: A resource book for service-learning faculty in all disciplines</w:t>
      </w:r>
      <w:r w:rsidRPr="00990244">
        <w:rPr>
          <w:rFonts w:ascii="Times New Roman" w:hAnsi="Times New Roman" w:cs="Times New Roman"/>
          <w:sz w:val="24"/>
          <w:szCs w:val="24"/>
        </w:rPr>
        <w:t>. Stylus Publishing, LLC.</w:t>
      </w:r>
    </w:p>
    <w:p w:rsidR="00C96CA0" w:rsidP="00C96CA0">
      <w:pPr>
        <w:spacing w:line="480" w:lineRule="auto"/>
        <w:ind w:left="720" w:hanging="720"/>
        <w:contextualSpacing/>
        <w:rPr>
          <w:rFonts w:ascii="Times New Roman" w:hAnsi="Times New Roman" w:cs="Times New Roman"/>
          <w:sz w:val="24"/>
          <w:szCs w:val="24"/>
        </w:rPr>
      </w:pPr>
      <w:r w:rsidRPr="00011B98">
        <w:rPr>
          <w:rFonts w:ascii="Times New Roman" w:hAnsi="Times New Roman" w:cs="Times New Roman"/>
          <w:sz w:val="24"/>
          <w:szCs w:val="24"/>
        </w:rPr>
        <w:t>Bowen, H. R., &amp; Fincher, C. (2018). Goals: The intended outcomes of higher education. In </w:t>
      </w:r>
      <w:r w:rsidRPr="00011B98">
        <w:rPr>
          <w:rFonts w:ascii="Times New Roman" w:hAnsi="Times New Roman" w:cs="Times New Roman"/>
          <w:i/>
          <w:iCs/>
          <w:sz w:val="24"/>
          <w:szCs w:val="24"/>
        </w:rPr>
        <w:t>Investment in learning</w:t>
      </w:r>
      <w:r w:rsidRPr="00011B98">
        <w:rPr>
          <w:rFonts w:ascii="Times New Roman" w:hAnsi="Times New Roman" w:cs="Times New Roman"/>
          <w:sz w:val="24"/>
          <w:szCs w:val="24"/>
        </w:rPr>
        <w:t> (pp. 31-60). Routledge.</w:t>
      </w:r>
    </w:p>
    <w:p w:rsidR="00C96CA0" w:rsidP="00C96CA0">
      <w:pPr>
        <w:spacing w:line="480" w:lineRule="auto"/>
        <w:ind w:left="720" w:hanging="720"/>
        <w:contextualSpacing/>
        <w:rPr>
          <w:rFonts w:ascii="Times New Roman" w:hAnsi="Times New Roman" w:cs="Times New Roman"/>
          <w:sz w:val="24"/>
          <w:szCs w:val="24"/>
        </w:rPr>
      </w:pPr>
      <w:r w:rsidRPr="00990244">
        <w:rPr>
          <w:rFonts w:ascii="Times New Roman" w:hAnsi="Times New Roman" w:cs="Times New Roman"/>
          <w:sz w:val="24"/>
          <w:szCs w:val="24"/>
        </w:rPr>
        <w:t>Brophy, J., Alleman, J., &amp; Halvorsen, A. L. (2016). </w:t>
      </w:r>
      <w:r w:rsidRPr="00990244">
        <w:rPr>
          <w:rFonts w:ascii="Times New Roman" w:hAnsi="Times New Roman" w:cs="Times New Roman"/>
          <w:i/>
          <w:iCs/>
          <w:sz w:val="24"/>
          <w:szCs w:val="24"/>
        </w:rPr>
        <w:t>Powerful social studies for elementary students</w:t>
      </w:r>
      <w:r w:rsidRPr="00990244">
        <w:rPr>
          <w:rFonts w:ascii="Times New Roman" w:hAnsi="Times New Roman" w:cs="Times New Roman"/>
          <w:sz w:val="24"/>
          <w:szCs w:val="24"/>
        </w:rPr>
        <w:t>. Cengage Learning.</w:t>
      </w:r>
    </w:p>
    <w:p w:rsidR="00C96CA0" w:rsidP="00C96CA0">
      <w:pPr>
        <w:spacing w:line="480" w:lineRule="auto"/>
        <w:ind w:left="720" w:hanging="720"/>
        <w:contextualSpacing/>
        <w:rPr>
          <w:rFonts w:ascii="Times New Roman" w:hAnsi="Times New Roman" w:cs="Times New Roman"/>
          <w:sz w:val="24"/>
          <w:szCs w:val="24"/>
        </w:rPr>
      </w:pPr>
      <w:r w:rsidRPr="00990244">
        <w:rPr>
          <w:rFonts w:ascii="Times New Roman" w:hAnsi="Times New Roman" w:cs="Times New Roman"/>
          <w:sz w:val="24"/>
          <w:szCs w:val="24"/>
        </w:rPr>
        <w:t xml:space="preserve">Bryman, A., (2016). </w:t>
      </w:r>
      <w:r w:rsidRPr="00990244">
        <w:rPr>
          <w:rFonts w:ascii="Times New Roman" w:hAnsi="Times New Roman" w:cs="Times New Roman"/>
          <w:i/>
          <w:iCs/>
          <w:sz w:val="24"/>
          <w:szCs w:val="24"/>
        </w:rPr>
        <w:t>Social research methods</w:t>
      </w:r>
      <w:r w:rsidRPr="00990244">
        <w:rPr>
          <w:rFonts w:ascii="Times New Roman" w:hAnsi="Times New Roman" w:cs="Times New Roman"/>
          <w:sz w:val="24"/>
          <w:szCs w:val="24"/>
        </w:rPr>
        <w:t>. Oxford university press.</w:t>
      </w:r>
    </w:p>
    <w:p w:rsidR="00C96CA0" w:rsidP="00C96CA0">
      <w:pPr>
        <w:spacing w:line="480" w:lineRule="auto"/>
        <w:ind w:left="720" w:hanging="720"/>
        <w:contextualSpacing/>
        <w:rPr>
          <w:rFonts w:ascii="Times New Roman" w:hAnsi="Times New Roman" w:cs="Times New Roman"/>
          <w:sz w:val="24"/>
          <w:szCs w:val="24"/>
        </w:rPr>
      </w:pPr>
      <w:r w:rsidRPr="00011B98">
        <w:rPr>
          <w:rFonts w:ascii="Times New Roman" w:hAnsi="Times New Roman" w:cs="Times New Roman"/>
          <w:sz w:val="24"/>
          <w:szCs w:val="24"/>
        </w:rPr>
        <w:t xml:space="preserve">Burbules, N., (2019). </w:t>
      </w:r>
      <w:r w:rsidRPr="00011B98">
        <w:rPr>
          <w:rFonts w:ascii="Times New Roman" w:hAnsi="Times New Roman" w:cs="Times New Roman"/>
          <w:i/>
          <w:iCs/>
          <w:sz w:val="24"/>
          <w:szCs w:val="24"/>
        </w:rPr>
        <w:t>Teaching and its predicaments</w:t>
      </w:r>
      <w:r w:rsidRPr="00011B98">
        <w:rPr>
          <w:rFonts w:ascii="Times New Roman" w:hAnsi="Times New Roman" w:cs="Times New Roman"/>
          <w:sz w:val="24"/>
          <w:szCs w:val="24"/>
        </w:rPr>
        <w:t>. Routledge.</w:t>
      </w:r>
    </w:p>
    <w:p w:rsidR="00C96CA0" w:rsidP="00C96CA0">
      <w:pPr>
        <w:spacing w:line="480" w:lineRule="auto"/>
        <w:ind w:left="720" w:hanging="720"/>
        <w:contextualSpacing/>
        <w:rPr>
          <w:rFonts w:ascii="Times New Roman" w:hAnsi="Times New Roman" w:cs="Times New Roman"/>
          <w:sz w:val="24"/>
          <w:szCs w:val="24"/>
        </w:rPr>
      </w:pPr>
      <w:r w:rsidRPr="00011B98">
        <w:rPr>
          <w:rFonts w:ascii="Times New Roman" w:hAnsi="Times New Roman" w:cs="Times New Roman"/>
          <w:sz w:val="24"/>
          <w:szCs w:val="24"/>
        </w:rPr>
        <w:t>Farris, P. J., &amp; Werderich, D. E. (2019). </w:t>
      </w:r>
      <w:r w:rsidRPr="00011B98">
        <w:rPr>
          <w:rFonts w:ascii="Times New Roman" w:hAnsi="Times New Roman" w:cs="Times New Roman"/>
          <w:i/>
          <w:iCs/>
          <w:sz w:val="24"/>
          <w:szCs w:val="24"/>
        </w:rPr>
        <w:t>Language Arts: Process, Product, and Assessment for Diverse Classrooms</w:t>
      </w:r>
      <w:r w:rsidRPr="00011B98">
        <w:rPr>
          <w:rFonts w:ascii="Times New Roman" w:hAnsi="Times New Roman" w:cs="Times New Roman"/>
          <w:sz w:val="24"/>
          <w:szCs w:val="24"/>
        </w:rPr>
        <w:t>. Waveland Press.</w:t>
      </w:r>
    </w:p>
    <w:p w:rsidR="00C96CA0" w:rsidP="00C96CA0">
      <w:pPr>
        <w:spacing w:line="480" w:lineRule="auto"/>
        <w:ind w:left="720" w:hanging="720"/>
        <w:contextualSpacing/>
        <w:rPr>
          <w:rFonts w:ascii="Times New Roman" w:hAnsi="Times New Roman" w:cs="Times New Roman"/>
          <w:sz w:val="24"/>
          <w:szCs w:val="24"/>
        </w:rPr>
      </w:pPr>
      <w:r w:rsidRPr="00F65938">
        <w:rPr>
          <w:rFonts w:ascii="Times New Roman" w:hAnsi="Times New Roman" w:cs="Times New Roman"/>
          <w:sz w:val="24"/>
          <w:szCs w:val="24"/>
        </w:rPr>
        <w:t>Garmston, R. J., &amp; Wellman, B. M. (2016). </w:t>
      </w:r>
      <w:r w:rsidRPr="00F65938">
        <w:rPr>
          <w:rFonts w:ascii="Times New Roman" w:hAnsi="Times New Roman" w:cs="Times New Roman"/>
          <w:i/>
          <w:iCs/>
          <w:sz w:val="24"/>
          <w:szCs w:val="24"/>
        </w:rPr>
        <w:t>The adaptive school: A sourcebook for developing collaborative groups</w:t>
      </w:r>
      <w:r w:rsidRPr="00F65938">
        <w:rPr>
          <w:rFonts w:ascii="Times New Roman" w:hAnsi="Times New Roman" w:cs="Times New Roman"/>
          <w:sz w:val="24"/>
          <w:szCs w:val="24"/>
        </w:rPr>
        <w:t>. Rowman &amp; Littlefield.</w:t>
      </w:r>
    </w:p>
    <w:p w:rsidR="00C96CA0" w:rsidP="00C96CA0">
      <w:pPr>
        <w:spacing w:line="480" w:lineRule="auto"/>
        <w:ind w:left="720" w:hanging="720"/>
        <w:contextualSpacing/>
        <w:rPr>
          <w:rFonts w:ascii="Times New Roman" w:hAnsi="Times New Roman" w:cs="Times New Roman"/>
          <w:sz w:val="24"/>
          <w:szCs w:val="24"/>
        </w:rPr>
      </w:pPr>
      <w:r w:rsidRPr="00990244">
        <w:rPr>
          <w:rFonts w:ascii="Times New Roman" w:hAnsi="Times New Roman" w:cs="Times New Roman"/>
          <w:sz w:val="24"/>
          <w:szCs w:val="24"/>
        </w:rPr>
        <w:t>Reimers, F. M., &amp; Chung, C. K. (Eds.). (2019). </w:t>
      </w:r>
      <w:r w:rsidRPr="00990244">
        <w:rPr>
          <w:rFonts w:ascii="Times New Roman" w:hAnsi="Times New Roman" w:cs="Times New Roman"/>
          <w:i/>
          <w:iCs/>
          <w:sz w:val="24"/>
          <w:szCs w:val="24"/>
        </w:rPr>
        <w:t>Teaching and learning for the twenty-first century: Educational goals, policies, and curricula from six nations</w:t>
      </w:r>
      <w:r w:rsidRPr="00990244">
        <w:rPr>
          <w:rFonts w:ascii="Times New Roman" w:hAnsi="Times New Roman" w:cs="Times New Roman"/>
          <w:sz w:val="24"/>
          <w:szCs w:val="24"/>
        </w:rPr>
        <w:t>. Harvard Education Press.</w:t>
      </w:r>
    </w:p>
    <w:p w:rsidR="00C96CA0" w:rsidRPr="00730615" w:rsidP="00C96CA0">
      <w:pPr>
        <w:spacing w:line="480" w:lineRule="auto"/>
        <w:ind w:left="720" w:hanging="720"/>
        <w:contextualSpacing/>
        <w:rPr>
          <w:rFonts w:ascii="Times New Roman" w:hAnsi="Times New Roman" w:cs="Times New Roman"/>
          <w:sz w:val="24"/>
          <w:szCs w:val="24"/>
        </w:rPr>
      </w:pPr>
      <w:r w:rsidRPr="00011B98">
        <w:rPr>
          <w:rFonts w:ascii="Times New Roman" w:hAnsi="Times New Roman" w:cs="Times New Roman"/>
          <w:sz w:val="24"/>
          <w:szCs w:val="24"/>
        </w:rPr>
        <w:t xml:space="preserve">Schulte, T., (2017). </w:t>
      </w:r>
      <w:r w:rsidRPr="00011B98">
        <w:rPr>
          <w:rFonts w:ascii="Times New Roman" w:hAnsi="Times New Roman" w:cs="Times New Roman"/>
          <w:i/>
          <w:iCs/>
          <w:sz w:val="24"/>
          <w:szCs w:val="24"/>
        </w:rPr>
        <w:t>Desirable science education: findings from a curricular Delphi study on scientific literacy in Germany</w:t>
      </w:r>
      <w:r w:rsidRPr="00011B98">
        <w:rPr>
          <w:rFonts w:ascii="Times New Roman" w:hAnsi="Times New Roman" w:cs="Times New Roman"/>
          <w:sz w:val="24"/>
          <w:szCs w:val="24"/>
        </w:rPr>
        <w:t>. Springer.</w:t>
      </w:r>
    </w:p>
    <w:p w:rsidR="00C96CA0" w:rsidP="00C96CA0">
      <w:pPr>
        <w:spacing w:line="480" w:lineRule="auto"/>
        <w:ind w:left="720" w:hanging="720"/>
        <w:contextualSpacing/>
        <w:rPr>
          <w:rFonts w:ascii="Times New Roman" w:hAnsi="Times New Roman" w:cs="Times New Roman"/>
          <w:sz w:val="24"/>
          <w:szCs w:val="24"/>
        </w:rPr>
      </w:pPr>
      <w:r w:rsidRPr="00011B98">
        <w:rPr>
          <w:rFonts w:ascii="Times New Roman" w:hAnsi="Times New Roman" w:cs="Times New Roman"/>
          <w:sz w:val="24"/>
          <w:szCs w:val="24"/>
        </w:rPr>
        <w:t>Strong, W. E. (2018). A Grounded Case Study of Parental Perceptions Surrounding Formalized Special Education Processes.</w:t>
      </w:r>
    </w:p>
    <w:sectPr w:rsidSect="00EE083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E0832">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HUMANITIES</w:t>
    </w:r>
    <w:r w:rsidR="00D55282">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F455E2">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F455E2">
          <w:rPr>
            <w:rFonts w:ascii="Times New Roman" w:hAnsi="Times New Roman" w:cs="Times New Roman"/>
            <w:sz w:val="24"/>
            <w:szCs w:val="24"/>
          </w:rPr>
          <w:fldChar w:fldCharType="separate"/>
        </w:r>
        <w:r w:rsidR="00C96CA0">
          <w:rPr>
            <w:rFonts w:ascii="Times New Roman" w:hAnsi="Times New Roman" w:cs="Times New Roman"/>
            <w:noProof/>
            <w:sz w:val="24"/>
            <w:szCs w:val="24"/>
          </w:rPr>
          <w:t>13</w:t>
        </w:r>
        <w:r w:rsidRPr="00FC5A8D" w:rsidR="00F455E2">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P="00511890">
    <w:pPr>
      <w:tabs>
        <w:tab w:val="left" w:pos="1853"/>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511890">
      <w:rPr>
        <w:rFonts w:ascii="Times New Roman" w:hAnsi="Times New Roman" w:cs="Times New Roman"/>
        <w:sz w:val="24"/>
        <w:szCs w:val="24"/>
      </w:rPr>
      <w:t>HUMANITIES</w:t>
    </w:r>
    <w:r w:rsidR="00D2156D">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F455E2">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F455E2">
          <w:rPr>
            <w:rFonts w:ascii="Times New Roman" w:hAnsi="Times New Roman" w:cs="Times New Roman"/>
            <w:sz w:val="24"/>
            <w:szCs w:val="24"/>
          </w:rPr>
          <w:fldChar w:fldCharType="separate"/>
        </w:r>
        <w:r w:rsidRPr="00C96CA0" w:rsidR="00C96CA0">
          <w:rPr>
            <w:noProof/>
          </w:rPr>
          <w:t>1</w:t>
        </w:r>
        <w:r w:rsidRPr="00FC5A8D" w:rsidR="00F455E2">
          <w:rPr>
            <w:rFonts w:ascii="Times New Roman" w:hAnsi="Times New Roman" w:cs="Times New Roman"/>
            <w:sz w:val="24"/>
            <w:szCs w:val="24"/>
          </w:rPr>
          <w:fldChar w:fldCharType="end"/>
        </w:r>
      </w:sdtContent>
    </w:sdt>
  </w:p>
  <w:p w:rsidR="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F404EE"/>
    <w:multiLevelType w:val="hybridMultilevel"/>
    <w:tmpl w:val="48D6A4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11B98"/>
    <w:rsid w:val="00043935"/>
    <w:rsid w:val="000445EF"/>
    <w:rsid w:val="00044625"/>
    <w:rsid w:val="00064754"/>
    <w:rsid w:val="00084A2A"/>
    <w:rsid w:val="000E2CB2"/>
    <w:rsid w:val="000F6DE4"/>
    <w:rsid w:val="0010656B"/>
    <w:rsid w:val="00123B5F"/>
    <w:rsid w:val="001547E1"/>
    <w:rsid w:val="00166D77"/>
    <w:rsid w:val="00196F38"/>
    <w:rsid w:val="001A0C0F"/>
    <w:rsid w:val="001C5B88"/>
    <w:rsid w:val="001E508E"/>
    <w:rsid w:val="001F6BF2"/>
    <w:rsid w:val="002003D9"/>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52B01"/>
    <w:rsid w:val="003C79CE"/>
    <w:rsid w:val="003D715A"/>
    <w:rsid w:val="003E14CF"/>
    <w:rsid w:val="00427CBC"/>
    <w:rsid w:val="00446EB6"/>
    <w:rsid w:val="00457BF6"/>
    <w:rsid w:val="004873A6"/>
    <w:rsid w:val="004A3920"/>
    <w:rsid w:val="004B11D0"/>
    <w:rsid w:val="004C7970"/>
    <w:rsid w:val="004E6C24"/>
    <w:rsid w:val="004F38A3"/>
    <w:rsid w:val="00511890"/>
    <w:rsid w:val="00511D7D"/>
    <w:rsid w:val="00533FDE"/>
    <w:rsid w:val="00541D31"/>
    <w:rsid w:val="00546151"/>
    <w:rsid w:val="00547703"/>
    <w:rsid w:val="00565259"/>
    <w:rsid w:val="00565727"/>
    <w:rsid w:val="0057434A"/>
    <w:rsid w:val="005864DD"/>
    <w:rsid w:val="005956D5"/>
    <w:rsid w:val="005A4EC0"/>
    <w:rsid w:val="005C0ACE"/>
    <w:rsid w:val="005C7FFC"/>
    <w:rsid w:val="00630320"/>
    <w:rsid w:val="0064209B"/>
    <w:rsid w:val="00644BA6"/>
    <w:rsid w:val="006545F4"/>
    <w:rsid w:val="00661D7E"/>
    <w:rsid w:val="006A7B36"/>
    <w:rsid w:val="006B6000"/>
    <w:rsid w:val="006B6CA1"/>
    <w:rsid w:val="006B7C96"/>
    <w:rsid w:val="006D357D"/>
    <w:rsid w:val="006E21EF"/>
    <w:rsid w:val="006E3921"/>
    <w:rsid w:val="007151C1"/>
    <w:rsid w:val="00715FA9"/>
    <w:rsid w:val="00730615"/>
    <w:rsid w:val="007309C3"/>
    <w:rsid w:val="007838BB"/>
    <w:rsid w:val="007962D1"/>
    <w:rsid w:val="007A3E15"/>
    <w:rsid w:val="007C3A46"/>
    <w:rsid w:val="007C6157"/>
    <w:rsid w:val="007C6A94"/>
    <w:rsid w:val="007D5A75"/>
    <w:rsid w:val="007E6731"/>
    <w:rsid w:val="008015E0"/>
    <w:rsid w:val="008132C1"/>
    <w:rsid w:val="008154AE"/>
    <w:rsid w:val="0084308D"/>
    <w:rsid w:val="00860CF8"/>
    <w:rsid w:val="00863967"/>
    <w:rsid w:val="008D04DA"/>
    <w:rsid w:val="008F2B8B"/>
    <w:rsid w:val="00900D57"/>
    <w:rsid w:val="0091783E"/>
    <w:rsid w:val="00933CCA"/>
    <w:rsid w:val="00944332"/>
    <w:rsid w:val="00945779"/>
    <w:rsid w:val="009714D3"/>
    <w:rsid w:val="00974DE8"/>
    <w:rsid w:val="00990244"/>
    <w:rsid w:val="00997AAC"/>
    <w:rsid w:val="009C3569"/>
    <w:rsid w:val="009C5441"/>
    <w:rsid w:val="009D29EB"/>
    <w:rsid w:val="00A022BF"/>
    <w:rsid w:val="00A15609"/>
    <w:rsid w:val="00A223E6"/>
    <w:rsid w:val="00A34286"/>
    <w:rsid w:val="00A63C62"/>
    <w:rsid w:val="00A74FDA"/>
    <w:rsid w:val="00AA7832"/>
    <w:rsid w:val="00AB07E8"/>
    <w:rsid w:val="00AC5DC1"/>
    <w:rsid w:val="00AC6A83"/>
    <w:rsid w:val="00B12E65"/>
    <w:rsid w:val="00B34C98"/>
    <w:rsid w:val="00B540BA"/>
    <w:rsid w:val="00B614E5"/>
    <w:rsid w:val="00B77331"/>
    <w:rsid w:val="00B85F5D"/>
    <w:rsid w:val="00BD69B8"/>
    <w:rsid w:val="00BF291B"/>
    <w:rsid w:val="00BF71F0"/>
    <w:rsid w:val="00C0000F"/>
    <w:rsid w:val="00C06567"/>
    <w:rsid w:val="00C203EA"/>
    <w:rsid w:val="00C31A35"/>
    <w:rsid w:val="00C47D75"/>
    <w:rsid w:val="00C52DE0"/>
    <w:rsid w:val="00C71CAD"/>
    <w:rsid w:val="00C74008"/>
    <w:rsid w:val="00C954D4"/>
    <w:rsid w:val="00C96CA0"/>
    <w:rsid w:val="00CA5751"/>
    <w:rsid w:val="00CC07EA"/>
    <w:rsid w:val="00D2156D"/>
    <w:rsid w:val="00D3149F"/>
    <w:rsid w:val="00D31FCE"/>
    <w:rsid w:val="00D55282"/>
    <w:rsid w:val="00D67432"/>
    <w:rsid w:val="00D72A87"/>
    <w:rsid w:val="00D7461E"/>
    <w:rsid w:val="00D90BD8"/>
    <w:rsid w:val="00DA5F40"/>
    <w:rsid w:val="00DB518B"/>
    <w:rsid w:val="00DC2C7D"/>
    <w:rsid w:val="00DD0A3B"/>
    <w:rsid w:val="00DD4C68"/>
    <w:rsid w:val="00DF7608"/>
    <w:rsid w:val="00E01587"/>
    <w:rsid w:val="00E520F5"/>
    <w:rsid w:val="00E65170"/>
    <w:rsid w:val="00E7115A"/>
    <w:rsid w:val="00E81B2E"/>
    <w:rsid w:val="00E83D63"/>
    <w:rsid w:val="00EA1C95"/>
    <w:rsid w:val="00EC1BCB"/>
    <w:rsid w:val="00EC607F"/>
    <w:rsid w:val="00EC7AD0"/>
    <w:rsid w:val="00ED484D"/>
    <w:rsid w:val="00EE0832"/>
    <w:rsid w:val="00F323F3"/>
    <w:rsid w:val="00F455E2"/>
    <w:rsid w:val="00F473CC"/>
    <w:rsid w:val="00F65938"/>
    <w:rsid w:val="00F90D8A"/>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2923</Words>
  <Characters>16664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fapmaster</cp:lastModifiedBy>
  <cp:revision>3</cp:revision>
  <dcterms:created xsi:type="dcterms:W3CDTF">2019-06-05T02:43:00Z</dcterms:created>
  <dcterms:modified xsi:type="dcterms:W3CDTF">2019-06-05T02:46:00Z</dcterms:modified>
</cp:coreProperties>
</file>