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19940" w14:textId="4B198E2D" w:rsidR="009D058E" w:rsidRPr="009D058E" w:rsidRDefault="00FD52FD" w:rsidP="00FD52FD">
      <w:pPr>
        <w:pStyle w:val="NormalWeb"/>
        <w:spacing w:before="0" w:beforeAutospacing="0" w:after="0" w:afterAutospacing="0" w:line="480" w:lineRule="auto"/>
        <w:jc w:val="center"/>
        <w:rPr>
          <w:b/>
          <w:bCs/>
          <w:color w:val="0E101A"/>
        </w:rPr>
      </w:pPr>
      <w:r>
        <w:rPr>
          <w:b/>
          <w:bCs/>
          <w:color w:val="0E101A"/>
        </w:rPr>
        <w:t xml:space="preserve">Health Care </w:t>
      </w:r>
    </w:p>
    <w:p w14:paraId="5CC54668" w14:textId="1E7C56D4" w:rsidR="009D058E" w:rsidRDefault="00FD52FD" w:rsidP="009D058E">
      <w:pPr>
        <w:pStyle w:val="NormalWeb"/>
        <w:spacing w:before="0" w:beforeAutospacing="0" w:after="0" w:afterAutospacing="0" w:line="480" w:lineRule="auto"/>
        <w:jc w:val="center"/>
        <w:rPr>
          <w:color w:val="0E101A"/>
        </w:rPr>
      </w:pPr>
      <w:r>
        <w:rPr>
          <w:color w:val="0E101A"/>
        </w:rPr>
        <w:t>By (</w:t>
      </w:r>
      <w:r w:rsidR="009D058E">
        <w:rPr>
          <w:color w:val="0E101A"/>
        </w:rPr>
        <w:t>Students’ Name</w:t>
      </w:r>
      <w:r>
        <w:rPr>
          <w:color w:val="0E101A"/>
        </w:rPr>
        <w:t>)</w:t>
      </w:r>
    </w:p>
    <w:p w14:paraId="231BCA6D" w14:textId="77777777" w:rsidR="00FD52FD" w:rsidRDefault="00FD52FD" w:rsidP="009D058E">
      <w:pPr>
        <w:pStyle w:val="NormalWeb"/>
        <w:spacing w:before="0" w:beforeAutospacing="0" w:after="0" w:afterAutospacing="0" w:line="480" w:lineRule="auto"/>
        <w:jc w:val="center"/>
        <w:rPr>
          <w:color w:val="0E101A"/>
        </w:rPr>
      </w:pPr>
    </w:p>
    <w:p w14:paraId="7C316F0B" w14:textId="77777777" w:rsidR="00FD52FD" w:rsidRDefault="00FD52FD" w:rsidP="009D058E">
      <w:pPr>
        <w:pStyle w:val="NormalWeb"/>
        <w:spacing w:before="0" w:beforeAutospacing="0" w:after="0" w:afterAutospacing="0" w:line="480" w:lineRule="auto"/>
        <w:jc w:val="center"/>
        <w:rPr>
          <w:color w:val="0E101A"/>
        </w:rPr>
      </w:pPr>
    </w:p>
    <w:p w14:paraId="0F7DE2B9" w14:textId="77777777" w:rsidR="00FD52FD" w:rsidRDefault="00FD52FD" w:rsidP="009D058E">
      <w:pPr>
        <w:pStyle w:val="NormalWeb"/>
        <w:spacing w:before="0" w:beforeAutospacing="0" w:after="0" w:afterAutospacing="0" w:line="480" w:lineRule="auto"/>
        <w:jc w:val="center"/>
        <w:rPr>
          <w:color w:val="0E101A"/>
        </w:rPr>
      </w:pPr>
    </w:p>
    <w:p w14:paraId="6B6F9212" w14:textId="77777777" w:rsidR="00FD52FD" w:rsidRDefault="00FD52FD" w:rsidP="009D058E">
      <w:pPr>
        <w:pStyle w:val="NormalWeb"/>
        <w:spacing w:before="0" w:beforeAutospacing="0" w:after="0" w:afterAutospacing="0" w:line="480" w:lineRule="auto"/>
        <w:jc w:val="center"/>
        <w:rPr>
          <w:color w:val="0E101A"/>
        </w:rPr>
      </w:pPr>
    </w:p>
    <w:p w14:paraId="3243A597" w14:textId="77777777" w:rsidR="00FD52FD" w:rsidRDefault="00FD52FD" w:rsidP="009D058E">
      <w:pPr>
        <w:pStyle w:val="NormalWeb"/>
        <w:spacing w:before="0" w:beforeAutospacing="0" w:after="0" w:afterAutospacing="0" w:line="480" w:lineRule="auto"/>
        <w:jc w:val="center"/>
        <w:rPr>
          <w:color w:val="0E101A"/>
        </w:rPr>
      </w:pPr>
    </w:p>
    <w:p w14:paraId="68345ECE" w14:textId="77777777" w:rsidR="00FD52FD" w:rsidRDefault="00FD52FD" w:rsidP="009D058E">
      <w:pPr>
        <w:pStyle w:val="NormalWeb"/>
        <w:spacing w:before="0" w:beforeAutospacing="0" w:after="0" w:afterAutospacing="0" w:line="480" w:lineRule="auto"/>
        <w:jc w:val="center"/>
        <w:rPr>
          <w:color w:val="0E101A"/>
        </w:rPr>
      </w:pPr>
    </w:p>
    <w:p w14:paraId="3C25F395" w14:textId="77777777" w:rsidR="00FD52FD" w:rsidRDefault="00FD52FD" w:rsidP="009D058E">
      <w:pPr>
        <w:pStyle w:val="NormalWeb"/>
        <w:spacing w:before="0" w:beforeAutospacing="0" w:after="0" w:afterAutospacing="0" w:line="480" w:lineRule="auto"/>
        <w:jc w:val="center"/>
        <w:rPr>
          <w:color w:val="0E101A"/>
        </w:rPr>
      </w:pPr>
    </w:p>
    <w:p w14:paraId="16FE6071" w14:textId="77777777" w:rsidR="00FD52FD" w:rsidRDefault="00FD52FD" w:rsidP="009D058E">
      <w:pPr>
        <w:pStyle w:val="NormalWeb"/>
        <w:spacing w:before="0" w:beforeAutospacing="0" w:after="0" w:afterAutospacing="0" w:line="480" w:lineRule="auto"/>
        <w:jc w:val="center"/>
        <w:rPr>
          <w:color w:val="0E101A"/>
        </w:rPr>
      </w:pPr>
    </w:p>
    <w:p w14:paraId="37C68334" w14:textId="77777777" w:rsidR="00FD52FD" w:rsidRDefault="00FD52FD" w:rsidP="009D058E">
      <w:pPr>
        <w:pStyle w:val="NormalWeb"/>
        <w:spacing w:before="0" w:beforeAutospacing="0" w:after="0" w:afterAutospacing="0" w:line="480" w:lineRule="auto"/>
        <w:jc w:val="center"/>
        <w:rPr>
          <w:color w:val="0E101A"/>
        </w:rPr>
      </w:pPr>
    </w:p>
    <w:p w14:paraId="3699C3FB" w14:textId="77777777" w:rsidR="00FD52FD" w:rsidRDefault="00FD52FD" w:rsidP="009D058E">
      <w:pPr>
        <w:pStyle w:val="NormalWeb"/>
        <w:spacing w:before="0" w:beforeAutospacing="0" w:after="0" w:afterAutospacing="0" w:line="480" w:lineRule="auto"/>
        <w:jc w:val="center"/>
        <w:rPr>
          <w:color w:val="0E101A"/>
        </w:rPr>
      </w:pPr>
    </w:p>
    <w:p w14:paraId="440051EB" w14:textId="77777777" w:rsidR="00FD52FD" w:rsidRDefault="00FD52FD" w:rsidP="009D058E">
      <w:pPr>
        <w:pStyle w:val="NormalWeb"/>
        <w:spacing w:before="0" w:beforeAutospacing="0" w:after="0" w:afterAutospacing="0" w:line="480" w:lineRule="auto"/>
        <w:jc w:val="center"/>
        <w:rPr>
          <w:color w:val="0E101A"/>
        </w:rPr>
      </w:pPr>
    </w:p>
    <w:p w14:paraId="3576A9DD" w14:textId="42814702" w:rsidR="009D058E" w:rsidRDefault="009D058E" w:rsidP="009D058E">
      <w:pPr>
        <w:pStyle w:val="NormalWeb"/>
        <w:spacing w:before="0" w:beforeAutospacing="0" w:after="0" w:afterAutospacing="0" w:line="480" w:lineRule="auto"/>
        <w:jc w:val="center"/>
        <w:rPr>
          <w:color w:val="0E101A"/>
        </w:rPr>
      </w:pPr>
      <w:r>
        <w:rPr>
          <w:color w:val="0E101A"/>
        </w:rPr>
        <w:t>Professors’ Name</w:t>
      </w:r>
    </w:p>
    <w:p w14:paraId="55A4258D" w14:textId="60FF8A05" w:rsidR="00FD52FD" w:rsidRDefault="00FD52FD" w:rsidP="009D058E">
      <w:pPr>
        <w:pStyle w:val="NormalWeb"/>
        <w:spacing w:before="0" w:beforeAutospacing="0" w:after="0" w:afterAutospacing="0" w:line="480" w:lineRule="auto"/>
        <w:jc w:val="center"/>
        <w:rPr>
          <w:color w:val="0E101A"/>
        </w:rPr>
      </w:pPr>
      <w:r>
        <w:rPr>
          <w:color w:val="0E101A"/>
        </w:rPr>
        <w:t xml:space="preserve">Department </w:t>
      </w:r>
    </w:p>
    <w:p w14:paraId="465EBFB4" w14:textId="1701AEC0" w:rsidR="00FD52FD" w:rsidRDefault="00FD52FD" w:rsidP="009D058E">
      <w:pPr>
        <w:pStyle w:val="NormalWeb"/>
        <w:spacing w:before="0" w:beforeAutospacing="0" w:after="0" w:afterAutospacing="0" w:line="480" w:lineRule="auto"/>
        <w:jc w:val="center"/>
        <w:rPr>
          <w:color w:val="0E101A"/>
        </w:rPr>
      </w:pPr>
      <w:r>
        <w:rPr>
          <w:color w:val="0E101A"/>
        </w:rPr>
        <w:t xml:space="preserve">Course </w:t>
      </w:r>
    </w:p>
    <w:p w14:paraId="748DEE72" w14:textId="5AB850B5" w:rsidR="009D058E" w:rsidRDefault="009D058E" w:rsidP="009D058E">
      <w:pPr>
        <w:pStyle w:val="NormalWeb"/>
        <w:spacing w:before="0" w:beforeAutospacing="0" w:after="0" w:afterAutospacing="0" w:line="480" w:lineRule="auto"/>
        <w:jc w:val="center"/>
        <w:rPr>
          <w:color w:val="0E101A"/>
        </w:rPr>
      </w:pPr>
      <w:r>
        <w:rPr>
          <w:color w:val="0E101A"/>
        </w:rPr>
        <w:t>Date</w:t>
      </w:r>
    </w:p>
    <w:p w14:paraId="5C4083F4" w14:textId="77777777" w:rsidR="009D058E" w:rsidRDefault="009D058E" w:rsidP="00F20768">
      <w:pPr>
        <w:pStyle w:val="NormalWeb"/>
        <w:spacing w:before="0" w:beforeAutospacing="0" w:after="0" w:afterAutospacing="0" w:line="480" w:lineRule="auto"/>
        <w:ind w:firstLine="720"/>
        <w:rPr>
          <w:color w:val="0E101A"/>
        </w:rPr>
      </w:pPr>
    </w:p>
    <w:p w14:paraId="1D6EE5E5" w14:textId="77777777" w:rsidR="009D058E" w:rsidRDefault="009D058E" w:rsidP="00F20768">
      <w:pPr>
        <w:pStyle w:val="NormalWeb"/>
        <w:spacing w:before="0" w:beforeAutospacing="0" w:after="0" w:afterAutospacing="0" w:line="480" w:lineRule="auto"/>
        <w:ind w:firstLine="720"/>
        <w:rPr>
          <w:color w:val="0E101A"/>
        </w:rPr>
      </w:pPr>
    </w:p>
    <w:p w14:paraId="4C68AD9F" w14:textId="77777777" w:rsidR="009D058E" w:rsidRDefault="009D058E" w:rsidP="00F20768">
      <w:pPr>
        <w:pStyle w:val="NormalWeb"/>
        <w:spacing w:before="0" w:beforeAutospacing="0" w:after="0" w:afterAutospacing="0" w:line="480" w:lineRule="auto"/>
        <w:ind w:firstLine="720"/>
        <w:rPr>
          <w:color w:val="0E101A"/>
        </w:rPr>
      </w:pPr>
    </w:p>
    <w:p w14:paraId="4047680D" w14:textId="77777777" w:rsidR="009D058E" w:rsidRDefault="009D058E" w:rsidP="00F20768">
      <w:pPr>
        <w:pStyle w:val="NormalWeb"/>
        <w:spacing w:before="0" w:beforeAutospacing="0" w:after="0" w:afterAutospacing="0" w:line="480" w:lineRule="auto"/>
        <w:ind w:firstLine="720"/>
        <w:rPr>
          <w:color w:val="0E101A"/>
        </w:rPr>
      </w:pPr>
    </w:p>
    <w:p w14:paraId="6969AC92" w14:textId="77777777" w:rsidR="009D058E" w:rsidRDefault="009D058E" w:rsidP="00F20768">
      <w:pPr>
        <w:pStyle w:val="NormalWeb"/>
        <w:spacing w:before="0" w:beforeAutospacing="0" w:after="0" w:afterAutospacing="0" w:line="480" w:lineRule="auto"/>
        <w:ind w:firstLine="720"/>
        <w:rPr>
          <w:color w:val="0E101A"/>
        </w:rPr>
      </w:pPr>
    </w:p>
    <w:p w14:paraId="0FF1D0BC" w14:textId="4AE17A31" w:rsidR="00895CA4" w:rsidRDefault="00895CA4" w:rsidP="00FD52FD">
      <w:pPr>
        <w:pStyle w:val="NormalWeb"/>
        <w:spacing w:before="0" w:beforeAutospacing="0" w:after="0" w:afterAutospacing="0" w:line="480" w:lineRule="auto"/>
        <w:rPr>
          <w:color w:val="0E101A"/>
        </w:rPr>
      </w:pPr>
    </w:p>
    <w:p w14:paraId="471975A1" w14:textId="64B0A7E2" w:rsidR="00895CA4" w:rsidRPr="00895CA4" w:rsidRDefault="00895CA4" w:rsidP="00FD52FD">
      <w:pPr>
        <w:pStyle w:val="NormalWeb"/>
        <w:spacing w:before="0" w:beforeAutospacing="0" w:after="0" w:afterAutospacing="0" w:line="480" w:lineRule="auto"/>
        <w:jc w:val="center"/>
        <w:rPr>
          <w:b/>
          <w:bCs/>
          <w:color w:val="0E101A"/>
        </w:rPr>
      </w:pPr>
      <w:r w:rsidRPr="00895CA4">
        <w:rPr>
          <w:b/>
          <w:bCs/>
          <w:color w:val="0E101A"/>
        </w:rPr>
        <w:lastRenderedPageBreak/>
        <w:t>Metabolic acidosis and alkalosis</w:t>
      </w:r>
    </w:p>
    <w:p w14:paraId="080BA49A" w14:textId="034883B8" w:rsidR="00F20768" w:rsidRDefault="00F20768" w:rsidP="00F20768">
      <w:pPr>
        <w:pStyle w:val="NormalWeb"/>
        <w:spacing w:before="0" w:beforeAutospacing="0" w:after="0" w:afterAutospacing="0" w:line="480" w:lineRule="auto"/>
        <w:ind w:firstLine="720"/>
        <w:rPr>
          <w:color w:val="0E101A"/>
        </w:rPr>
      </w:pPr>
      <w:r>
        <w:rPr>
          <w:color w:val="0E101A"/>
        </w:rPr>
        <w:t>Metabolic acidosis happens when either a rise in nonvolatile acids production or a reduction of bicarbonate from the body suppresses the operations of acid-base homeostasis or when there is a compromise of renal acidification operations. Clinical manifestations of metabolic acidosis include headache, lack of appetite, increased heart rate, confusion, shallow and rapid breathing, fatigue, sleepiness, jaundice, fruity breath, nausea, and vomiting. The diagnosis of metabolic acidosis is done by evaluating the serum electrolytes plus ABGs. Low serum HCO</w:t>
      </w:r>
      <w:r w:rsidRPr="001B08D9">
        <w:rPr>
          <w:rStyle w:val="Strong"/>
          <w:b w:val="0"/>
          <w:bCs w:val="0"/>
          <w:color w:val="0E101A"/>
        </w:rPr>
        <w:t>3</w:t>
      </w:r>
      <w:r w:rsidR="00115518" w:rsidRPr="001B08D9">
        <w:rPr>
          <w:rStyle w:val="Strong"/>
          <w:b w:val="0"/>
          <w:bCs w:val="0"/>
          <w:color w:val="0E101A"/>
        </w:rPr>
        <w:t>- plus</w:t>
      </w:r>
      <w:r w:rsidRPr="001B08D9">
        <w:rPr>
          <w:b/>
          <w:bCs/>
          <w:color w:val="0E101A"/>
        </w:rPr>
        <w:t xml:space="preserve"> </w:t>
      </w:r>
      <w:r>
        <w:rPr>
          <w:color w:val="0E101A"/>
        </w:rPr>
        <w:t>a pH that is below 7.40 upon ABG assessment affirms the presence of metabolic acidosis. Metabolic acidosis treatment is done in three major ways; excreting excess acids, restraining the body from excess acid production, and absorbing acids with bases to stabilize blood acidity. </w:t>
      </w:r>
    </w:p>
    <w:p w14:paraId="41B66DA1" w14:textId="046A2DED" w:rsidR="00F20768" w:rsidRDefault="00F20768" w:rsidP="00F20768">
      <w:pPr>
        <w:pStyle w:val="NormalWeb"/>
        <w:spacing w:before="0" w:beforeAutospacing="0" w:after="0" w:afterAutospacing="0" w:line="480" w:lineRule="auto"/>
        <w:ind w:firstLine="720"/>
        <w:rPr>
          <w:color w:val="0E101A"/>
        </w:rPr>
      </w:pPr>
      <w:r>
        <w:rPr>
          <w:color w:val="0E101A"/>
        </w:rPr>
        <w:t>Pathogenesis of metabolic alkalosis involves two disarrangements, creation of metabolic alkalosis through a build-up of alkali or reduction of acid and preservation of metabolic alkalosis by the rise of tubular HCO</w:t>
      </w:r>
      <w:r w:rsidRPr="001B08D9">
        <w:rPr>
          <w:rStyle w:val="Strong"/>
          <w:b w:val="0"/>
          <w:bCs w:val="0"/>
          <w:color w:val="0E101A"/>
        </w:rPr>
        <w:t>3</w:t>
      </w:r>
      <w:r w:rsidR="00115518" w:rsidRPr="001B08D9">
        <w:rPr>
          <w:rStyle w:val="Strong"/>
          <w:b w:val="0"/>
          <w:bCs w:val="0"/>
          <w:color w:val="0E101A"/>
        </w:rPr>
        <w:t>-</w:t>
      </w:r>
      <w:r w:rsidR="00115518">
        <w:rPr>
          <w:rStyle w:val="Strong"/>
          <w:color w:val="0E101A"/>
        </w:rPr>
        <w:t xml:space="preserve"> </w:t>
      </w:r>
      <w:r w:rsidR="00115518" w:rsidRPr="001B08D9">
        <w:rPr>
          <w:rStyle w:val="Strong"/>
          <w:b w:val="0"/>
          <w:bCs w:val="0"/>
          <w:color w:val="0E101A"/>
        </w:rPr>
        <w:t>resorption</w:t>
      </w:r>
      <w:r>
        <w:rPr>
          <w:color w:val="0E101A"/>
        </w:rPr>
        <w:t>. Clinical manifestations of metabolic alkalosis include nausea, tetany, lightheadedness, hand tremor, vomiting, confusion, muscle twitching, and tingling of feet, face, or hands. Metabolic alkalosis is usually diagnosed by assessing blood gases in the arteries plus serum electrolytes. In case the cause of metabolic alkalosis is not evident from the physical examination plus clinical history, including hypertension presence and drug use, obtain urine chloride ion concentrations. An arterial pH that is greater than 7.45 indicates the presence of alkalosis</w:t>
      </w:r>
      <w:r w:rsidR="00DB37CE">
        <w:rPr>
          <w:color w:val="0E101A"/>
        </w:rPr>
        <w:t xml:space="preserve"> (Reddi, 2020). </w:t>
      </w:r>
      <w:r>
        <w:rPr>
          <w:color w:val="0E101A"/>
        </w:rPr>
        <w:t xml:space="preserve">Treatment of metabolic alkalosis uses an intravenous line to supply fluid and substances such </w:t>
      </w:r>
      <w:r w:rsidR="00DB37CE">
        <w:rPr>
          <w:color w:val="0E101A"/>
        </w:rPr>
        <w:t>a</w:t>
      </w:r>
      <w:r>
        <w:rPr>
          <w:color w:val="0E101A"/>
        </w:rPr>
        <w:t>s potassium replacement, chloride infusion, saline infusion, magnesium replacement, hydrochloric acid infusion, and getting rid of medications that brought the condition. </w:t>
      </w:r>
    </w:p>
    <w:p w14:paraId="0E98907C" w14:textId="77777777" w:rsidR="00F20768" w:rsidRDefault="00F20768" w:rsidP="00F20768">
      <w:pPr>
        <w:pStyle w:val="NormalWeb"/>
        <w:spacing w:before="0" w:beforeAutospacing="0" w:after="0" w:afterAutospacing="0" w:line="480" w:lineRule="auto"/>
        <w:ind w:firstLine="720"/>
        <w:rPr>
          <w:color w:val="0E101A"/>
        </w:rPr>
      </w:pPr>
      <w:r>
        <w:rPr>
          <w:color w:val="0E101A"/>
        </w:rPr>
        <w:lastRenderedPageBreak/>
        <w:t>Buffer systems are chemical systems that inhibit radical changes in fluid pH by reducing the transpose in hydrogen ions concentrations where acid or base presence is in excess. </w:t>
      </w:r>
    </w:p>
    <w:p w14:paraId="6F495109" w14:textId="195810F7" w:rsidR="009114E0" w:rsidRPr="00895CA4" w:rsidRDefault="00895CA4" w:rsidP="00FD52FD">
      <w:pPr>
        <w:ind w:firstLine="0"/>
        <w:jc w:val="center"/>
        <w:rPr>
          <w:b/>
          <w:bCs/>
        </w:rPr>
      </w:pPr>
      <w:r w:rsidRPr="00895CA4">
        <w:rPr>
          <w:b/>
          <w:bCs/>
        </w:rPr>
        <w:t>BRCA1 and BCRA2</w:t>
      </w:r>
    </w:p>
    <w:p w14:paraId="02AAB03A" w14:textId="76606614" w:rsidR="003C3478" w:rsidRDefault="003C3478" w:rsidP="003C3478">
      <w:r>
        <w:t xml:space="preserve">Each cell in our bodies has genes. These genes contain the genetic code for our bodies. For instance, genes carry the details that dictate the color of our eyes. Genes also carry information which controls how cells in our bodies divide, grow and die. Information in our genes is inherited from our fathers and mothers. It is also possible to pass the information on to our children. Just like the other inherited genes mutations, the BRCA1/2 are not common in the general population. For instance, in the United States, approximately 1 in 400 persons have a BRCA1/2 mutation. BRCA1/2 prevalence usually varies by ethnic group. For </w:t>
      </w:r>
      <w:r w:rsidR="00AF2CF2">
        <w:t>instance</w:t>
      </w:r>
      <w:r>
        <w:t>, approximately 1</w:t>
      </w:r>
      <w:r w:rsidR="00AF2CF2">
        <w:t xml:space="preserve"> in</w:t>
      </w:r>
      <w:r>
        <w:t xml:space="preserve"> 40 bears a BRCA1/2 mutation among the Ashkenazi Jewish </w:t>
      </w:r>
      <w:r w:rsidR="00AF2CF2">
        <w:t>wo</w:t>
      </w:r>
      <w:r>
        <w:t>men and men.</w:t>
      </w:r>
    </w:p>
    <w:p w14:paraId="69375418" w14:textId="37533353" w:rsidR="003C3478" w:rsidRDefault="00AF2CF2" w:rsidP="003C3478">
      <w:r>
        <w:t>Females</w:t>
      </w:r>
      <w:r w:rsidR="003C3478">
        <w:t xml:space="preserve"> who bear BRCA1/2 inherited gene mutation are at a</w:t>
      </w:r>
      <w:r w:rsidR="003A6AD7">
        <w:t xml:space="preserve"> high</w:t>
      </w:r>
      <w:r w:rsidR="003C3478">
        <w:t xml:space="preserve"> risk of getting breast cancer</w:t>
      </w:r>
      <w:r w:rsidR="003A6AD7">
        <w:t xml:space="preserve"> disease</w:t>
      </w:r>
      <w:r w:rsidR="003C3478">
        <w:t xml:space="preserve">. </w:t>
      </w:r>
      <w:r>
        <w:t xml:space="preserve">The </w:t>
      </w:r>
      <w:r w:rsidR="003C3478">
        <w:t>BRCA1/2 gene mutations are believed to be responsible for a huge section of hereditary breast cancer</w:t>
      </w:r>
      <w:r w:rsidR="00DB37CE">
        <w:t xml:space="preserve"> (Smith et al. 2007). </w:t>
      </w:r>
      <w:r w:rsidR="003C3478">
        <w:t>However</w:t>
      </w:r>
      <w:r w:rsidR="00E03CE2">
        <w:t xml:space="preserve"> </w:t>
      </w:r>
      <w:r w:rsidR="003C3478">
        <w:t>most breast cancers do not have any relationship with inherited gene mutations. BRCA1/2 inherited gene mutations cause women to be at a</w:t>
      </w:r>
      <w:r w:rsidR="003A6AD7">
        <w:t>n increased</w:t>
      </w:r>
      <w:r w:rsidR="003C3478">
        <w:t xml:space="preserve"> risk of getting</w:t>
      </w:r>
      <w:r w:rsidR="003A6AD7">
        <w:t xml:space="preserve"> infected with</w:t>
      </w:r>
      <w:r w:rsidR="003C3478">
        <w:t xml:space="preserve"> ovarian cancer. Even if BRCA1/2 bearers </w:t>
      </w:r>
      <w:r w:rsidR="003A6AD7">
        <w:t>have</w:t>
      </w:r>
      <w:r w:rsidR="003C3478">
        <w:t xml:space="preserve"> a </w:t>
      </w:r>
      <w:r w:rsidR="003A6AD7">
        <w:t>greater</w:t>
      </w:r>
      <w:r w:rsidR="003C3478">
        <w:t xml:space="preserve"> risk of getting ovarian cancer than non-bearers, it does not imply that carriers will have a worse projection if diagnosed. BRCA1/2 inherited gene mutations also raise the chances of pancreatic cancer. In addition, women who carry a BCRA2 gene mutation are at a raised risk of getting melanoma.</w:t>
      </w:r>
    </w:p>
    <w:p w14:paraId="132CAC4C" w14:textId="6F850871" w:rsidR="00AF2CF2" w:rsidRDefault="003C3478" w:rsidP="003C3478">
      <w:r>
        <w:t xml:space="preserve">Surveillance screening is only recommended for persons who are at a high risk of </w:t>
      </w:r>
      <w:r w:rsidR="00115518">
        <w:t>carrying</w:t>
      </w:r>
      <w:r>
        <w:t xml:space="preserve"> BRCA1/2 inherited gene mutation. Screening for BRCA1/2 inherited gene mutations is mostly done first on people with ovarian, pancreatic, prostate, or breast cancer. In my opinion, </w:t>
      </w:r>
      <w:r>
        <w:lastRenderedPageBreak/>
        <w:t>genetic testing is important since it helps people to learn whether an inherited gene mutation caused their breast cancer.</w:t>
      </w:r>
    </w:p>
    <w:p w14:paraId="2B8ABE57" w14:textId="49BB81BE" w:rsidR="00AF2CF2" w:rsidRPr="00895CA4" w:rsidRDefault="00895CA4" w:rsidP="00FD52FD">
      <w:pPr>
        <w:ind w:firstLine="0"/>
        <w:jc w:val="center"/>
        <w:rPr>
          <w:b/>
          <w:bCs/>
        </w:rPr>
      </w:pPr>
      <w:r>
        <w:rPr>
          <w:b/>
          <w:bCs/>
        </w:rPr>
        <w:t>HIV and AIDS</w:t>
      </w:r>
    </w:p>
    <w:p w14:paraId="43159499" w14:textId="318DBE38" w:rsidR="00171597" w:rsidRDefault="00171597" w:rsidP="00171597">
      <w:r>
        <w:t xml:space="preserve"> Lentivirus human immunodeficiency virus causes AIDS by linking with a big number of various body cells and evading the host immune response against it. The various steps happening during infection include a linking of HIV not only with CD4 molecules on cells but also with various cellular receptors newly spotted. Virus-cell fusion plus entry of HIV subsequently occurs.</w:t>
      </w:r>
      <w:r w:rsidR="001F4B4B">
        <w:t xml:space="preserve"> HIV usually </w:t>
      </w:r>
      <w:r w:rsidR="00FD52FD">
        <w:t>targets</w:t>
      </w:r>
      <w:r w:rsidR="001F4B4B">
        <w:t xml:space="preserve"> the body’s immune system and weakens its defense against various diseases</w:t>
      </w:r>
      <w:r w:rsidR="00DB37CE">
        <w:t xml:space="preserve"> (Simon et al.</w:t>
      </w:r>
      <w:r w:rsidR="00FD52FD">
        <w:t>,</w:t>
      </w:r>
      <w:r w:rsidR="00DB37CE">
        <w:t xml:space="preserve"> 2006).</w:t>
      </w:r>
      <w:r w:rsidR="001F4B4B">
        <w:t xml:space="preserve"> As the virus damages immune cells, the infected persons slowly become immunodeficient. CD4 cell count measures the immune function. </w:t>
      </w:r>
    </w:p>
    <w:p w14:paraId="2DF27924" w14:textId="665D9257" w:rsidR="00171597" w:rsidRDefault="00171597" w:rsidP="00171597">
      <w:r>
        <w:t>HIV can be transmitted by exchanging body fluids from person</w:t>
      </w:r>
      <w:r w:rsidR="009310AE">
        <w:t>s infected</w:t>
      </w:r>
      <w:r>
        <w:t>, like breast milk, blood</w:t>
      </w:r>
      <w:r w:rsidR="009310AE">
        <w:t xml:space="preserve"> droplets</w:t>
      </w:r>
      <w:r>
        <w:t>, vaginal secretions</w:t>
      </w:r>
      <w:r w:rsidR="009310AE">
        <w:t xml:space="preserve"> as well as </w:t>
      </w:r>
      <w:r>
        <w:t xml:space="preserve">semen. In addition, HIV </w:t>
      </w:r>
      <w:r w:rsidR="002B78AE">
        <w:t>is also</w:t>
      </w:r>
      <w:r>
        <w:t xml:space="preserve"> transmitted from mother to child during delivery and pregnancy.  One cannot get infected with HIV via mere da</w:t>
      </w:r>
      <w:r w:rsidR="002B78AE">
        <w:t>ily body</w:t>
      </w:r>
      <w:r>
        <w:t xml:space="preserve"> contact </w:t>
      </w:r>
      <w:r w:rsidR="002B78AE">
        <w:t xml:space="preserve">such as </w:t>
      </w:r>
      <w:r>
        <w:t>hugging,</w:t>
      </w:r>
      <w:r w:rsidR="003A6AD7">
        <w:t xml:space="preserve"> touching,</w:t>
      </w:r>
      <w:r>
        <w:t xml:space="preserve"> kissing, </w:t>
      </w:r>
      <w:r w:rsidR="002B78AE">
        <w:t>hand shaking</w:t>
      </w:r>
      <w:r>
        <w:t xml:space="preserve">, or even sharing </w:t>
      </w:r>
      <w:r w:rsidR="003A6AD7">
        <w:t>personalized</w:t>
      </w:r>
      <w:r>
        <w:t xml:space="preserve"> </w:t>
      </w:r>
      <w:r w:rsidR="002B78AE">
        <w:t>stuff</w:t>
      </w:r>
      <w:r>
        <w:t xml:space="preserve">, water, or </w:t>
      </w:r>
      <w:r w:rsidR="002B78AE">
        <w:t>snacks</w:t>
      </w:r>
      <w:r>
        <w:t>. It is essential to understand that people having HIV and are using ART, and the virus in their body is suppressed cannot transmit HIV sexually. Clinical manifestations of HIV vary depending on the infection stage. After the first few weeks of infection, people could experience mild symptoms such as fever, rash, sore throat, headache, joint pain, or weight loss. As the infection weakens the body, symptoms like swollen lymph nodes, diarrhea, night sweats, and coughs are reported. If one is not treated, severe illnesses like tuberculosis could develop.</w:t>
      </w:r>
    </w:p>
    <w:p w14:paraId="7E0B7969" w14:textId="793DAF3F" w:rsidR="00171597" w:rsidRDefault="00171597" w:rsidP="00171597">
      <w:r>
        <w:t xml:space="preserve">HIV can be controlled by treatment regimens comprising a mixture of three or more antiretroviral (ARV) medicines. Antiretroviral therapy suppresses viral duplication; hence, the </w:t>
      </w:r>
      <w:r>
        <w:lastRenderedPageBreak/>
        <w:t xml:space="preserve">immune system is strengthened. Individuals can prevent infection of HIV by using condoms, not sharing needles, abstinence, using ARVs, and avoiding mother-to-child transmission if the mother is infected.  </w:t>
      </w:r>
    </w:p>
    <w:p w14:paraId="4E79097C" w14:textId="1ECE44ED" w:rsidR="00A07F93" w:rsidRPr="00895CA4" w:rsidRDefault="00895CA4" w:rsidP="00FD52FD">
      <w:pPr>
        <w:ind w:firstLine="0"/>
        <w:jc w:val="center"/>
        <w:rPr>
          <w:b/>
          <w:bCs/>
        </w:rPr>
      </w:pPr>
      <w:r>
        <w:rPr>
          <w:rFonts w:eastAsia="Times New Roman" w:cs="Times New Roman"/>
          <w:b/>
          <w:bCs/>
        </w:rPr>
        <w:t>E</w:t>
      </w:r>
      <w:r w:rsidRPr="00895CA4">
        <w:rPr>
          <w:rFonts w:eastAsia="Times New Roman" w:cs="Times New Roman"/>
          <w:b/>
          <w:bCs/>
        </w:rPr>
        <w:t>ffects and health risks of electromagnetic radiation</w:t>
      </w:r>
    </w:p>
    <w:p w14:paraId="07EE80B0" w14:textId="22605966" w:rsidR="00AE5758" w:rsidRDefault="00AE5758" w:rsidP="00AE5758">
      <w:r>
        <w:t xml:space="preserve">Variances in voltage cause electric fields. When the voltage is high, the resultant magnetic field will also be high. The flow of electric current brings about magnetic fields. If the current is great, the magnetic field will, in turn, be strong. Electromagnetic radiation has various effects on health. To start with, some individuals are more </w:t>
      </w:r>
      <w:r w:rsidR="002B78AE">
        <w:t>prone</w:t>
      </w:r>
      <w:r>
        <w:t xml:space="preserve"> to exposure to electromagnetic fields than </w:t>
      </w:r>
      <w:r w:rsidR="002B78AE">
        <w:t xml:space="preserve">the </w:t>
      </w:r>
      <w:r>
        <w:t xml:space="preserve">others. This condition is </w:t>
      </w:r>
      <w:r w:rsidR="002B78AE">
        <w:t>known</w:t>
      </w:r>
      <w:r>
        <w:t xml:space="preserve"> as </w:t>
      </w:r>
      <w:proofErr w:type="spellStart"/>
      <w:r>
        <w:t>Electrohypersensitivity</w:t>
      </w:r>
      <w:proofErr w:type="spellEnd"/>
      <w:r>
        <w:t xml:space="preserve"> (EHS). </w:t>
      </w:r>
      <w:r w:rsidR="002B78AE">
        <w:t>P</w:t>
      </w:r>
      <w:r>
        <w:t xml:space="preserve">athogenesis of EHS </w:t>
      </w:r>
      <w:r w:rsidR="002B78AE">
        <w:t>has not yet been discovered</w:t>
      </w:r>
      <w:r>
        <w:t>. EHS is believed to be caused by exposure</w:t>
      </w:r>
      <w:r w:rsidR="002B78AE">
        <w:t xml:space="preserve"> to heavy metal</w:t>
      </w:r>
      <w:r>
        <w:t xml:space="preserve">. These heavy metals </w:t>
      </w:r>
      <w:r w:rsidR="002B78AE">
        <w:t>with</w:t>
      </w:r>
      <w:r>
        <w:t xml:space="preserve"> proteins in tissues plus organs are believed to have minimal toxicity</w:t>
      </w:r>
      <w:r w:rsidR="00DB37CE">
        <w:t xml:space="preserve"> (Zhang et al. 2010)</w:t>
      </w:r>
      <w:r>
        <w:t xml:space="preserve"> </w:t>
      </w:r>
      <w:r w:rsidR="000C0238">
        <w:t>The s</w:t>
      </w:r>
      <w:r>
        <w:t xml:space="preserve">tatic magnetic field </w:t>
      </w:r>
      <w:r w:rsidR="002B78AE">
        <w:t>plus</w:t>
      </w:r>
      <w:r>
        <w:t xml:space="preserve"> microwave radiation released by </w:t>
      </w:r>
      <w:r w:rsidR="002B78AE">
        <w:t>cellular</w:t>
      </w:r>
      <w:r>
        <w:t xml:space="preserve"> phones could cause mercury </w:t>
      </w:r>
      <w:r w:rsidR="000C0238">
        <w:t>steam</w:t>
      </w:r>
      <w:r>
        <w:t xml:space="preserve"> emission from the dental amalgam, raising the concentration of mercury dissolved in </w:t>
      </w:r>
      <w:r w:rsidR="000C0238">
        <w:t xml:space="preserve">the </w:t>
      </w:r>
      <w:r>
        <w:t>saliva in those who have amalgam.</w:t>
      </w:r>
    </w:p>
    <w:p w14:paraId="63CB8F84" w14:textId="65EE80C1" w:rsidR="00AE5758" w:rsidRDefault="00AE5758" w:rsidP="00AE5758">
      <w:r>
        <w:t xml:space="preserve">The increase in male infertility cases has led to deep scientific investigations, which show that EMRs could be </w:t>
      </w:r>
      <w:r w:rsidR="000C0238">
        <w:t>among</w:t>
      </w:r>
      <w:r>
        <w:t xml:space="preserve"> the probable environmental </w:t>
      </w:r>
      <w:r w:rsidR="000C0238">
        <w:t>determinants</w:t>
      </w:r>
      <w:r>
        <w:t xml:space="preserve">. </w:t>
      </w:r>
      <w:r w:rsidR="000C0238">
        <w:t>Comprehension</w:t>
      </w:r>
      <w:r>
        <w:t xml:space="preserve"> of the EMF impact on the reproductive system is </w:t>
      </w:r>
      <w:r w:rsidR="000C0238">
        <w:t>blurred</w:t>
      </w:r>
      <w:r>
        <w:t xml:space="preserve"> by findings that are contradictory despite many research years. Mobile phones are not only a status symbol nowadays; rather, they are now part and parcel of everybody's life. Since it is carried in the pocket very closely to the reproductive system, its effect on male infertility calls for immediate attention. Intermittent 50 Hz minimum frequency horizontal electromagnetic field exposure causes remarkable histopathological alterations such as necrosis, atrophy, plus seminiferous erosion in the testis. In addition, electromagnetic radiation influences the male reproductive system, which causes </w:t>
      </w:r>
      <w:r>
        <w:lastRenderedPageBreak/>
        <w:t>spermatozoa to have an increase in peroxidation brought about by oxidative stress, morphometric abnormalities, and a decrease in motility. This may lead to a low sperm count.</w:t>
      </w:r>
    </w:p>
    <w:p w14:paraId="134DAD69" w14:textId="207DF29E" w:rsidR="00AE5758" w:rsidRPr="00895CA4" w:rsidRDefault="00895CA4" w:rsidP="00FD52FD">
      <w:pPr>
        <w:ind w:firstLine="0"/>
        <w:jc w:val="center"/>
        <w:rPr>
          <w:b/>
          <w:bCs/>
        </w:rPr>
      </w:pPr>
      <w:r w:rsidRPr="00895CA4">
        <w:rPr>
          <w:rFonts w:eastAsia="Times New Roman" w:cs="Times New Roman"/>
          <w:b/>
          <w:bCs/>
        </w:rPr>
        <w:t>Dementia of Alzheimer type (DAT)</w:t>
      </w:r>
    </w:p>
    <w:p w14:paraId="260246E6" w14:textId="25C7265D" w:rsidR="00AE5758" w:rsidRDefault="00AE5758" w:rsidP="00AE5758">
      <w:r>
        <w:t>Dementia of the Alzheimer type (DAT) is a continuous, deadly neurodegenerative disorder shown by retrogression in cognition and memory, persistent impairment in the defacement in the ability to perform daily living activities, plus several behavioral and neuropsychiatric symptoms. The pathophysiology of DAT is still evasive. Neurodegeneration taking place in this disorder has been previously thought to be the outcome brought about by the buildup of insoluble amyloid-beta 42(AB) aggregates. Nevertheless, the latest findings question this particular thesis and have proposed several other persuasive molecular plus cellular mechanisms</w:t>
      </w:r>
      <w:r w:rsidR="00DB37CE">
        <w:t xml:space="preserve"> (</w:t>
      </w:r>
      <w:proofErr w:type="spellStart"/>
      <w:r w:rsidR="00DB37CE">
        <w:t>Jalbert</w:t>
      </w:r>
      <w:proofErr w:type="spellEnd"/>
      <w:r w:rsidR="00DB37CE">
        <w:t xml:space="preserve"> et al.</w:t>
      </w:r>
      <w:r w:rsidR="00FD52FD">
        <w:t>,</w:t>
      </w:r>
      <w:r w:rsidR="00DB37CE">
        <w:t xml:space="preserve"> 2008).</w:t>
      </w:r>
      <w:r>
        <w:t xml:space="preserve"> The relationship of the suggested abnormal cellular plus molecular processes to fundamental genetic mutations is also assessed in an attempt to get more information concerning the pathogenesis of, and hence therapeutics for Dementia of the Alzheimer type</w:t>
      </w:r>
      <w:r w:rsidR="000C0238">
        <w:t xml:space="preserve">. </w:t>
      </w:r>
    </w:p>
    <w:p w14:paraId="4066B069" w14:textId="77777777" w:rsidR="00AE5758" w:rsidRDefault="00AE5758" w:rsidP="00AE5758">
      <w:r>
        <w:t>Clinical manifestations of  Dementia of the Alzheimer type (DAT) include memory loss (often noticed by another person) which leads to daily life disruption, difficulty in problem-solving or planning, challenges in carrying out familiar tasks, confusion with either places or time, challenges in communication or finding words, misplacing items and being unable to retrace steps, poor judgment, challenges with spatial and visual capacities, for example losing the way when driving, withdrawal from social tasks plus personality and mood change. Other psychological symptoms include depression, agitation, paranoia, inappropriate behavior, anxiety, and hallucinations.</w:t>
      </w:r>
    </w:p>
    <w:p w14:paraId="3E8A713B" w14:textId="77777777" w:rsidR="00AE5758" w:rsidRDefault="00AE5758" w:rsidP="00AE5758">
      <w:r>
        <w:lastRenderedPageBreak/>
        <w:t>To evaluate Dementia of the Alzheimer type (DAT), doctors carry out tests to gauge memory defacement plus various thinking skills, identify changes in behavior plus assess functional capabilities. They also run more tests to eliminate other probable causes of disability. Treatment of Dementia usually depends on the grounds. In Dementia of the Alzheimer type (DAT), there happens to be no cure. However, one treatment, aducanumab, has demonstrated that getting rid of amyloid, a hallmark of Alzheimer's disorder, from the brain can lower functional and cognitive functional decrease in individuals who have Alzheimer's.</w:t>
      </w:r>
    </w:p>
    <w:p w14:paraId="6026AA0A" w14:textId="71F396D9" w:rsidR="00AE5758" w:rsidRPr="00895CA4" w:rsidRDefault="00895CA4" w:rsidP="00FD52FD">
      <w:pPr>
        <w:ind w:firstLine="0"/>
        <w:jc w:val="center"/>
        <w:rPr>
          <w:b/>
          <w:bCs/>
        </w:rPr>
      </w:pPr>
      <w:r>
        <w:rPr>
          <w:b/>
          <w:bCs/>
        </w:rPr>
        <w:t>Common headaches</w:t>
      </w:r>
    </w:p>
    <w:p w14:paraId="46563805" w14:textId="18AFD51D" w:rsidR="00AE5758" w:rsidRDefault="00AE5758" w:rsidP="00AE5758">
      <w:r>
        <w:t xml:space="preserve"> There exist several types of headaches. Even though they are not all the same, they have a similarity which is pain. In the case of migraines, one feels throbbing beginning on either side of the head and causes one to have nausea or increases an individual's sensitivity to light and sound. Characteristics of migraines include prodrome, where one feels a mood change and fatigue</w:t>
      </w:r>
      <w:r w:rsidR="00EE4C19">
        <w:t>,</w:t>
      </w:r>
      <w:r>
        <w:t xml:space="preserve"> aura, where one gets visual disturbance, headache, headache termination, where the pain disappears without treatment</w:t>
      </w:r>
      <w:r w:rsidR="00EE4C19">
        <w:t>,</w:t>
      </w:r>
      <w:r>
        <w:t xml:space="preserve"> postdrome, where one has difficulty in eating, challenges with concentration and fatigue, which may prolong when the pain disappears. With cluster headaches, there is intense pain on either side of the head, pain around or behind either eye, short-lived pain, regular headaches, which occur at a particular time every day</w:t>
      </w:r>
      <w:r w:rsidR="00DB37CE">
        <w:t xml:space="preserve"> (</w:t>
      </w:r>
      <w:r w:rsidR="009310AE">
        <w:t xml:space="preserve">Rains &amp; </w:t>
      </w:r>
      <w:proofErr w:type="spellStart"/>
      <w:r w:rsidR="009310AE">
        <w:t>Poceta</w:t>
      </w:r>
      <w:proofErr w:type="spellEnd"/>
      <w:r w:rsidR="009310AE">
        <w:t>, 2006</w:t>
      </w:r>
      <w:r w:rsidR="00DB37CE">
        <w:t>)</w:t>
      </w:r>
      <w:r>
        <w:t xml:space="preserve"> Finally, in the case of tension headaches, one feels a dull, constant pain that usually feels like one has been tightened with a band around the head.</w:t>
      </w:r>
    </w:p>
    <w:p w14:paraId="74AFF15A" w14:textId="286F84CA" w:rsidR="00AE5758" w:rsidRDefault="00AE5758" w:rsidP="00AE5758">
      <w:r>
        <w:t>General physical evaluation of headaches should involve vital signs, cardiovascular assessment plus fundoscopic, and head plus face palpation. Further diagnosis can be made through blood chemistry and urinalysis,</w:t>
      </w:r>
      <w:r w:rsidR="000C0238" w:rsidRPr="000C0238">
        <w:t xml:space="preserve"> </w:t>
      </w:r>
      <w:r w:rsidR="000C0238">
        <w:t>Spinal tap</w:t>
      </w:r>
      <w:r>
        <w:t>, eye exam</w:t>
      </w:r>
      <w:r w:rsidR="000C0238">
        <w:t>s</w:t>
      </w:r>
      <w:r>
        <w:t>, MRI, Sinus X-ray, and</w:t>
      </w:r>
      <w:r w:rsidR="000C0238" w:rsidRPr="000C0238">
        <w:t xml:space="preserve"> </w:t>
      </w:r>
      <w:r w:rsidR="000C0238">
        <w:t xml:space="preserve">CT scans. </w:t>
      </w:r>
      <w:r>
        <w:t xml:space="preserve">There are several ways to treat headaches, for example, taking over-the-counter drugs like </w:t>
      </w:r>
      <w:r>
        <w:lastRenderedPageBreak/>
        <w:t>aspirin and ibuprofen, relaxing in a quiet room, cold or hot compresses to the head, small quantities of caffeine plus massage, and taking preventive medicine like metoprolol. Some of the ways to prevent headaches include avoiding headache triggers, have enough sleep, avoid overusing medications, avoid skipping meals, reducing caffeine intake, reducing stress, exercising regularly, have a sleep schedule and stick to it, drink a lot of water constantly, consider a migraine-prevention meal plan, prevent eye strains and avoiding fumes and odors.</w:t>
      </w:r>
    </w:p>
    <w:p w14:paraId="1CCB0C39" w14:textId="14365388" w:rsidR="00AE5758" w:rsidRPr="00895CA4" w:rsidRDefault="00895CA4" w:rsidP="00FD52FD">
      <w:pPr>
        <w:ind w:firstLine="0"/>
        <w:jc w:val="center"/>
        <w:rPr>
          <w:b/>
          <w:bCs/>
        </w:rPr>
      </w:pPr>
      <w:r w:rsidRPr="00895CA4">
        <w:rPr>
          <w:b/>
          <w:bCs/>
        </w:rPr>
        <w:t>Grave’s disease and hypothyroidism</w:t>
      </w:r>
    </w:p>
    <w:p w14:paraId="34A0AA5E" w14:textId="1B9A0687" w:rsidR="00AE5758" w:rsidRDefault="00AE5758" w:rsidP="00AE5758">
      <w:r>
        <w:t xml:space="preserve">Grave's disease is an autoimmune illness which damages thyroid glands. The disease </w:t>
      </w:r>
      <w:r w:rsidR="000C0238">
        <w:t>makes</w:t>
      </w:r>
      <w:r>
        <w:t xml:space="preserve"> the thyroid gland produce excess thyroid hormone. This condition is called hyperthyroidism. The thyroid hormones are responsible for regulating heart rate, body temperature, and metabolism. Hyperthyroidism's systemic manifestations include difficulty in sleeping, thyroid enlargement (goiter), eye inflammation, fast and irregular heartbeat, hand tremors, fatigue, irritability, heat intolerance, weight loss, and muscle weakness. Although hyperthyroid is a lifelong illness, several treatments can be used to manage it, such as; beta-blockers like metoprolol plus propranolol, which regulate heart rate and protect the heart, antithyroid drugs, radiation therapy, and surgery.</w:t>
      </w:r>
    </w:p>
    <w:p w14:paraId="12B4B2D1" w14:textId="15E36DC6" w:rsidR="00AE5758" w:rsidRDefault="00AE5758" w:rsidP="00AE5758">
      <w:r>
        <w:t xml:space="preserve">Hypothyroidism is a disorder that is caused by the shortage of T4 and T3 serums. Clinical manifestations of hypothyroidism include fatigue, constipation, increased cold sensitivity, weight gain, dry skin, hoarseness, puffy face, increased blood cholesterol </w:t>
      </w:r>
      <w:r w:rsidR="00BA5AC4">
        <w:t>measure</w:t>
      </w:r>
      <w:r>
        <w:t xml:space="preserve">, muscle weakness, stiffness </w:t>
      </w:r>
      <w:r w:rsidR="00BA5AC4">
        <w:t>plus</w:t>
      </w:r>
      <w:r>
        <w:t xml:space="preserve"> joint pain, muscle aches and tenderness, thinning hair, </w:t>
      </w:r>
      <w:r w:rsidR="000C0238">
        <w:t>reduced</w:t>
      </w:r>
      <w:r>
        <w:t xml:space="preserve"> heart rate, </w:t>
      </w:r>
      <w:r w:rsidR="00BA5AC4">
        <w:t>melancholy</w:t>
      </w:r>
      <w:r>
        <w:t xml:space="preserve">, goiter, </w:t>
      </w:r>
      <w:r w:rsidR="000C0238">
        <w:t>plus</w:t>
      </w:r>
      <w:r>
        <w:t xml:space="preserve"> impaired memory. The most accurate laboratory test of hypothyroidism is a serum TSH test</w:t>
      </w:r>
      <w:r w:rsidR="009310AE">
        <w:t xml:space="preserve"> (</w:t>
      </w:r>
      <w:proofErr w:type="spellStart"/>
      <w:r w:rsidR="009310AE">
        <w:t>Bartalena</w:t>
      </w:r>
      <w:proofErr w:type="spellEnd"/>
      <w:r w:rsidR="009310AE">
        <w:t xml:space="preserve"> &amp; </w:t>
      </w:r>
      <w:proofErr w:type="spellStart"/>
      <w:r w:rsidR="009310AE">
        <w:t>Fatourechi</w:t>
      </w:r>
      <w:proofErr w:type="spellEnd"/>
      <w:r w:rsidR="009310AE">
        <w:t xml:space="preserve">, 2014). </w:t>
      </w:r>
      <w:r>
        <w:t>In case the serum TSH level is high, repeat the test with serum-free thyroxine.</w:t>
      </w:r>
    </w:p>
    <w:p w14:paraId="393CA729" w14:textId="77777777" w:rsidR="00AE5758" w:rsidRDefault="00AE5758" w:rsidP="00AE5758">
      <w:r>
        <w:lastRenderedPageBreak/>
        <w:t>Treatment of hypothyroidism usually concentrates on boosting the thyroid hormone. Hypothyroidism cannot be cured permanently, but it can be controlled. One of the ways to control hypothyroidism is by using synthetic thyroxine. This medication replenishes levels and is also similar to the T4 hormone. This medication should be taken in the morning prior to taking any meal. Another method of controlling hypothyroid is by maintaining enough intake of iodine. Iodine is a crucial component of thyroid function. Shortage of iodine is one of the major causes of goiter growth. However, individuals who have autoimmune thyroid disorder could be sensitive to the iodine effects, implying that it could intensify hypothyroidism.</w:t>
      </w:r>
    </w:p>
    <w:p w14:paraId="66E5A250" w14:textId="198ECF14" w:rsidR="00AE5758" w:rsidRPr="00895CA4" w:rsidRDefault="00895CA4" w:rsidP="00FD52FD">
      <w:pPr>
        <w:ind w:firstLine="0"/>
        <w:jc w:val="center"/>
        <w:rPr>
          <w:b/>
          <w:bCs/>
        </w:rPr>
      </w:pPr>
      <w:r w:rsidRPr="00895CA4">
        <w:rPr>
          <w:b/>
          <w:bCs/>
        </w:rPr>
        <w:t>Polycystic ovary syndrome (PCOS)</w:t>
      </w:r>
    </w:p>
    <w:p w14:paraId="1290CFC6" w14:textId="5E2FB967" w:rsidR="00AE5758" w:rsidRDefault="00AE5758" w:rsidP="00AE5758">
      <w:r>
        <w:t xml:space="preserve">The pathophysiology of polycystic ovary syndrome (PCOS) calls for linking genetic and epigenetic changes, neuroendocrine alterations, primary ovarian disorders, and metabolic and endocrine modifiers like anti-Mullerian hormone, adiposity hyperinsulinemia, insulin resistance as well as adiponectin levels. Clinical manifestations of polycystic ovary syndrome (PCOS) include irregular periods, which is caused by lack of ovulation, heavy bleeding, which occurs when the uterine lining has built up for a long time, hirsutism where hair grows on the face, chest, belly, and back, acne, which occurs when </w:t>
      </w:r>
      <w:r w:rsidR="00BA5AC4">
        <w:t xml:space="preserve">the </w:t>
      </w:r>
      <w:r>
        <w:t xml:space="preserve">male hormones </w:t>
      </w:r>
      <w:r w:rsidR="00BA5AC4">
        <w:t>cause severe skin oiliness</w:t>
      </w:r>
      <w:r>
        <w:t xml:space="preserve"> and often leads to chest, face and back</w:t>
      </w:r>
      <w:r w:rsidR="00BA5AC4">
        <w:t xml:space="preserve"> breakouts</w:t>
      </w:r>
      <w:r>
        <w:t>, weight gain, male pattern baldness, skin darkening, and headaches.</w:t>
      </w:r>
    </w:p>
    <w:p w14:paraId="65426967" w14:textId="3D15D62F" w:rsidR="004804FC" w:rsidRDefault="00AE5758" w:rsidP="00AE5758">
      <w:r>
        <w:t>Polycystic ovary syndrome (PCOS) is evaluated by carrying out a pelvic test. This test looks for any disorders in the ovaries and other parts of the reproductive system. Evaluation can also be done via blood tests. A blood test will look for male hormones that are abnormally high. Ultrasounds are also used to evaluate PCOS</w:t>
      </w:r>
      <w:r w:rsidR="009310AE">
        <w:t xml:space="preserve"> (Cunningham, 2017). </w:t>
      </w:r>
      <w:r>
        <w:t xml:space="preserve">Ultrasounds use sound waves to check for abnormal follicles plus other disorders in the uterus and ovaries.  Treatment of </w:t>
      </w:r>
      <w:r>
        <w:lastRenderedPageBreak/>
        <w:t>polycystic ovary syndrome (PCOS) can be done in several ways. Birth control pills control PCOS by regulating ovulation, restoring hormonal balance, and shielding one from endometrial cancer. Metformin is a medicine that cures PCOS by increasing levels of insulin. Taking metformin alongside changing diet and regular exercise helps in weight reduction, reduces blood sugar, resulting in a regular menstrual cycle. Clomiphene, a fertility drug, aids women suffering from PCOS get pregnant. Hair removal drugs such as eflornithine can be used to remove unwanted hair and prevent it from growing. In case other treatments fail, surgery can be used to improve fertility.</w:t>
      </w:r>
    </w:p>
    <w:p w14:paraId="09C69967" w14:textId="22F7AD1B" w:rsidR="009310AE" w:rsidRDefault="009310AE" w:rsidP="00AE5758"/>
    <w:p w14:paraId="12B8B07D" w14:textId="5257706B" w:rsidR="009310AE" w:rsidRDefault="009310AE" w:rsidP="00AE5758"/>
    <w:p w14:paraId="7F809DDF" w14:textId="04356E86" w:rsidR="009310AE" w:rsidRDefault="009310AE" w:rsidP="00AE5758"/>
    <w:p w14:paraId="10DDBD8F" w14:textId="25BDD73D" w:rsidR="009310AE" w:rsidRDefault="009310AE" w:rsidP="00AE5758"/>
    <w:p w14:paraId="7EF71327" w14:textId="67A6B0C2" w:rsidR="009310AE" w:rsidRDefault="009310AE" w:rsidP="00AE5758"/>
    <w:p w14:paraId="00D7EA68" w14:textId="764848C8" w:rsidR="009310AE" w:rsidRDefault="009310AE" w:rsidP="00AE5758"/>
    <w:p w14:paraId="4E1D18EB" w14:textId="4D51C2EA" w:rsidR="009310AE" w:rsidRDefault="009310AE" w:rsidP="00AE5758"/>
    <w:p w14:paraId="54AF7927" w14:textId="6AC7A774" w:rsidR="009310AE" w:rsidRDefault="009310AE" w:rsidP="00AE5758"/>
    <w:p w14:paraId="087008A0" w14:textId="4D07A2CA" w:rsidR="009310AE" w:rsidRDefault="009310AE" w:rsidP="00AE5758"/>
    <w:p w14:paraId="38FCEFDB" w14:textId="5A8A818B" w:rsidR="009310AE" w:rsidRDefault="009310AE" w:rsidP="00AE5758"/>
    <w:p w14:paraId="0E989B4C" w14:textId="0F8A785F" w:rsidR="009310AE" w:rsidRDefault="009310AE" w:rsidP="00AE5758"/>
    <w:p w14:paraId="4E388C1C" w14:textId="6A63DF78" w:rsidR="009310AE" w:rsidRDefault="009310AE" w:rsidP="00AE5758"/>
    <w:p w14:paraId="1480DB82" w14:textId="2E71C6B2" w:rsidR="009310AE" w:rsidRDefault="009310AE" w:rsidP="00AE5758"/>
    <w:p w14:paraId="5DE0648B" w14:textId="047E0616" w:rsidR="009310AE" w:rsidRDefault="009310AE" w:rsidP="00AE5758"/>
    <w:p w14:paraId="1929B513" w14:textId="10487DFE" w:rsidR="00E03CE2" w:rsidRDefault="00E03CE2" w:rsidP="00E03CE2">
      <w:pPr>
        <w:ind w:firstLine="0"/>
      </w:pPr>
    </w:p>
    <w:p w14:paraId="48162F13" w14:textId="07F53E24" w:rsidR="00E03CE2" w:rsidRPr="009310AE" w:rsidRDefault="00E03CE2" w:rsidP="00FD52FD">
      <w:pPr>
        <w:ind w:firstLine="0"/>
        <w:jc w:val="center"/>
        <w:rPr>
          <w:rFonts w:cs="Times New Roman"/>
          <w:b/>
          <w:bCs/>
          <w:szCs w:val="24"/>
        </w:rPr>
      </w:pPr>
      <w:r>
        <w:rPr>
          <w:rFonts w:cs="Times New Roman"/>
          <w:b/>
          <w:bCs/>
          <w:szCs w:val="24"/>
        </w:rPr>
        <w:lastRenderedPageBreak/>
        <w:t>References</w:t>
      </w:r>
    </w:p>
    <w:p w14:paraId="70144FB3" w14:textId="77777777" w:rsidR="00E03CE2" w:rsidRPr="009310AE" w:rsidRDefault="00E03CE2" w:rsidP="009310AE">
      <w:pPr>
        <w:ind w:left="720" w:hanging="720"/>
        <w:rPr>
          <w:rFonts w:cs="Times New Roman"/>
          <w:color w:val="222222"/>
          <w:szCs w:val="24"/>
          <w:shd w:val="clear" w:color="auto" w:fill="FFFFFF"/>
        </w:rPr>
      </w:pPr>
      <w:proofErr w:type="spellStart"/>
      <w:r w:rsidRPr="009310AE">
        <w:rPr>
          <w:rFonts w:cs="Times New Roman"/>
          <w:color w:val="222222"/>
          <w:szCs w:val="24"/>
          <w:shd w:val="clear" w:color="auto" w:fill="FFFFFF"/>
        </w:rPr>
        <w:t>Bartalena</w:t>
      </w:r>
      <w:proofErr w:type="spellEnd"/>
      <w:r w:rsidRPr="009310AE">
        <w:rPr>
          <w:rFonts w:cs="Times New Roman"/>
          <w:color w:val="222222"/>
          <w:szCs w:val="24"/>
          <w:shd w:val="clear" w:color="auto" w:fill="FFFFFF"/>
        </w:rPr>
        <w:t xml:space="preserve">, L., &amp; </w:t>
      </w:r>
      <w:proofErr w:type="spellStart"/>
      <w:r w:rsidRPr="009310AE">
        <w:rPr>
          <w:rFonts w:cs="Times New Roman"/>
          <w:color w:val="222222"/>
          <w:szCs w:val="24"/>
          <w:shd w:val="clear" w:color="auto" w:fill="FFFFFF"/>
        </w:rPr>
        <w:t>Fatourechi</w:t>
      </w:r>
      <w:proofErr w:type="spellEnd"/>
      <w:r w:rsidRPr="009310AE">
        <w:rPr>
          <w:rFonts w:cs="Times New Roman"/>
          <w:color w:val="222222"/>
          <w:szCs w:val="24"/>
          <w:shd w:val="clear" w:color="auto" w:fill="FFFFFF"/>
        </w:rPr>
        <w:t>, V. (2014). Extrathyroidal manifestations of Graves’ disease: a 2014 update. </w:t>
      </w:r>
      <w:r w:rsidRPr="009310AE">
        <w:rPr>
          <w:rFonts w:cs="Times New Roman"/>
          <w:i/>
          <w:iCs/>
          <w:color w:val="222222"/>
          <w:szCs w:val="24"/>
          <w:shd w:val="clear" w:color="auto" w:fill="FFFFFF"/>
        </w:rPr>
        <w:t>Journal of endocrinological investigation</w:t>
      </w:r>
      <w:r w:rsidRPr="009310AE">
        <w:rPr>
          <w:rFonts w:cs="Times New Roman"/>
          <w:color w:val="222222"/>
          <w:szCs w:val="24"/>
          <w:shd w:val="clear" w:color="auto" w:fill="FFFFFF"/>
        </w:rPr>
        <w:t>, </w:t>
      </w:r>
      <w:r w:rsidRPr="009310AE">
        <w:rPr>
          <w:rFonts w:cs="Times New Roman"/>
          <w:i/>
          <w:iCs/>
          <w:color w:val="222222"/>
          <w:szCs w:val="24"/>
          <w:shd w:val="clear" w:color="auto" w:fill="FFFFFF"/>
        </w:rPr>
        <w:t>37</w:t>
      </w:r>
      <w:r w:rsidRPr="009310AE">
        <w:rPr>
          <w:rFonts w:cs="Times New Roman"/>
          <w:color w:val="222222"/>
          <w:szCs w:val="24"/>
          <w:shd w:val="clear" w:color="auto" w:fill="FFFFFF"/>
        </w:rPr>
        <w:t>(8), 691-700.</w:t>
      </w:r>
    </w:p>
    <w:p w14:paraId="56426FE6" w14:textId="77777777" w:rsidR="00E03CE2" w:rsidRPr="009310AE" w:rsidRDefault="00E03CE2" w:rsidP="009310AE">
      <w:pPr>
        <w:ind w:left="720" w:hanging="720"/>
        <w:rPr>
          <w:rFonts w:cs="Times New Roman"/>
          <w:szCs w:val="24"/>
        </w:rPr>
      </w:pPr>
      <w:r w:rsidRPr="009310AE">
        <w:rPr>
          <w:rFonts w:cs="Times New Roman"/>
          <w:color w:val="222222"/>
          <w:szCs w:val="24"/>
          <w:shd w:val="clear" w:color="auto" w:fill="FFFFFF"/>
        </w:rPr>
        <w:t>Cunningham, P. (2017). Pathophysiology, diagnosis and treatment of polycystic ovary syndrome. </w:t>
      </w:r>
      <w:r w:rsidRPr="009310AE">
        <w:rPr>
          <w:rFonts w:cs="Times New Roman"/>
          <w:i/>
          <w:iCs/>
          <w:color w:val="222222"/>
          <w:szCs w:val="24"/>
          <w:shd w:val="clear" w:color="auto" w:fill="FFFFFF"/>
        </w:rPr>
        <w:t>Nursing Standard</w:t>
      </w:r>
      <w:r w:rsidRPr="009310AE">
        <w:rPr>
          <w:rFonts w:cs="Times New Roman"/>
          <w:color w:val="222222"/>
          <w:szCs w:val="24"/>
          <w:shd w:val="clear" w:color="auto" w:fill="FFFFFF"/>
        </w:rPr>
        <w:t>, </w:t>
      </w:r>
      <w:r w:rsidRPr="009310AE">
        <w:rPr>
          <w:rFonts w:cs="Times New Roman"/>
          <w:i/>
          <w:iCs/>
          <w:color w:val="222222"/>
          <w:szCs w:val="24"/>
          <w:shd w:val="clear" w:color="auto" w:fill="FFFFFF"/>
        </w:rPr>
        <w:t>31</w:t>
      </w:r>
      <w:r w:rsidRPr="009310AE">
        <w:rPr>
          <w:rFonts w:cs="Times New Roman"/>
          <w:color w:val="222222"/>
          <w:szCs w:val="24"/>
          <w:shd w:val="clear" w:color="auto" w:fill="FFFFFF"/>
        </w:rPr>
        <w:t>(39).</w:t>
      </w:r>
    </w:p>
    <w:p w14:paraId="4DCBBDB8" w14:textId="77777777" w:rsidR="00E03CE2" w:rsidRPr="009310AE" w:rsidRDefault="00E03CE2" w:rsidP="009310AE">
      <w:pPr>
        <w:ind w:left="720" w:hanging="720"/>
        <w:rPr>
          <w:rFonts w:cs="Times New Roman"/>
          <w:color w:val="222222"/>
          <w:szCs w:val="24"/>
          <w:shd w:val="clear" w:color="auto" w:fill="FFFFFF"/>
        </w:rPr>
      </w:pPr>
      <w:r w:rsidRPr="009310AE">
        <w:rPr>
          <w:rFonts w:cs="Times New Roman"/>
          <w:color w:val="222222"/>
          <w:szCs w:val="24"/>
          <w:shd w:val="clear" w:color="auto" w:fill="FFFFFF"/>
        </w:rPr>
        <w:t xml:space="preserve">Jalbert, J. J., Daiello, L. A., &amp; </w:t>
      </w:r>
      <w:proofErr w:type="spellStart"/>
      <w:r w:rsidRPr="009310AE">
        <w:rPr>
          <w:rFonts w:cs="Times New Roman"/>
          <w:color w:val="222222"/>
          <w:szCs w:val="24"/>
          <w:shd w:val="clear" w:color="auto" w:fill="FFFFFF"/>
        </w:rPr>
        <w:t>Lapane</w:t>
      </w:r>
      <w:proofErr w:type="spellEnd"/>
      <w:r w:rsidRPr="009310AE">
        <w:rPr>
          <w:rFonts w:cs="Times New Roman"/>
          <w:color w:val="222222"/>
          <w:szCs w:val="24"/>
          <w:shd w:val="clear" w:color="auto" w:fill="FFFFFF"/>
        </w:rPr>
        <w:t>, K. L. (2008). Dementia of the Alzheimer type. </w:t>
      </w:r>
      <w:r w:rsidRPr="009310AE">
        <w:rPr>
          <w:rFonts w:cs="Times New Roman"/>
          <w:i/>
          <w:iCs/>
          <w:color w:val="222222"/>
          <w:szCs w:val="24"/>
          <w:shd w:val="clear" w:color="auto" w:fill="FFFFFF"/>
        </w:rPr>
        <w:t>Epidemiologic reviews</w:t>
      </w:r>
      <w:r w:rsidRPr="009310AE">
        <w:rPr>
          <w:rFonts w:cs="Times New Roman"/>
          <w:color w:val="222222"/>
          <w:szCs w:val="24"/>
          <w:shd w:val="clear" w:color="auto" w:fill="FFFFFF"/>
        </w:rPr>
        <w:t>, </w:t>
      </w:r>
      <w:r w:rsidRPr="009310AE">
        <w:rPr>
          <w:rFonts w:cs="Times New Roman"/>
          <w:i/>
          <w:iCs/>
          <w:color w:val="222222"/>
          <w:szCs w:val="24"/>
          <w:shd w:val="clear" w:color="auto" w:fill="FFFFFF"/>
        </w:rPr>
        <w:t>30</w:t>
      </w:r>
      <w:r w:rsidRPr="009310AE">
        <w:rPr>
          <w:rFonts w:cs="Times New Roman"/>
          <w:color w:val="222222"/>
          <w:szCs w:val="24"/>
          <w:shd w:val="clear" w:color="auto" w:fill="FFFFFF"/>
        </w:rPr>
        <w:t>(1), 15-34.</w:t>
      </w:r>
    </w:p>
    <w:p w14:paraId="1C3A1CA7" w14:textId="77777777" w:rsidR="00E03CE2" w:rsidRPr="009310AE" w:rsidRDefault="00E03CE2" w:rsidP="009310AE">
      <w:pPr>
        <w:ind w:left="720" w:hanging="720"/>
        <w:rPr>
          <w:rFonts w:cs="Times New Roman"/>
          <w:color w:val="222222"/>
          <w:szCs w:val="24"/>
          <w:shd w:val="clear" w:color="auto" w:fill="FFFFFF"/>
        </w:rPr>
      </w:pPr>
      <w:r w:rsidRPr="009310AE">
        <w:rPr>
          <w:rFonts w:cs="Times New Roman"/>
          <w:color w:val="222222"/>
          <w:szCs w:val="24"/>
          <w:shd w:val="clear" w:color="auto" w:fill="FFFFFF"/>
        </w:rPr>
        <w:t xml:space="preserve">Rains, J. C., &amp; </w:t>
      </w:r>
      <w:proofErr w:type="spellStart"/>
      <w:r w:rsidRPr="009310AE">
        <w:rPr>
          <w:rFonts w:cs="Times New Roman"/>
          <w:color w:val="222222"/>
          <w:szCs w:val="24"/>
          <w:shd w:val="clear" w:color="auto" w:fill="FFFFFF"/>
        </w:rPr>
        <w:t>Poceta</w:t>
      </w:r>
      <w:proofErr w:type="spellEnd"/>
      <w:r w:rsidRPr="009310AE">
        <w:rPr>
          <w:rFonts w:cs="Times New Roman"/>
          <w:color w:val="222222"/>
          <w:szCs w:val="24"/>
          <w:shd w:val="clear" w:color="auto" w:fill="FFFFFF"/>
        </w:rPr>
        <w:t>, J. S. (2006). Headache and sleep disorders: review and clinical implications for headache management. </w:t>
      </w:r>
      <w:r w:rsidRPr="009310AE">
        <w:rPr>
          <w:rFonts w:cs="Times New Roman"/>
          <w:i/>
          <w:iCs/>
          <w:color w:val="222222"/>
          <w:szCs w:val="24"/>
          <w:shd w:val="clear" w:color="auto" w:fill="FFFFFF"/>
        </w:rPr>
        <w:t>Headache: The Journal of Head and Face Pain</w:t>
      </w:r>
      <w:r w:rsidRPr="009310AE">
        <w:rPr>
          <w:rFonts w:cs="Times New Roman"/>
          <w:color w:val="222222"/>
          <w:szCs w:val="24"/>
          <w:shd w:val="clear" w:color="auto" w:fill="FFFFFF"/>
        </w:rPr>
        <w:t>, </w:t>
      </w:r>
      <w:r w:rsidRPr="009310AE">
        <w:rPr>
          <w:rFonts w:cs="Times New Roman"/>
          <w:i/>
          <w:iCs/>
          <w:color w:val="222222"/>
          <w:szCs w:val="24"/>
          <w:shd w:val="clear" w:color="auto" w:fill="FFFFFF"/>
        </w:rPr>
        <w:t>46</w:t>
      </w:r>
      <w:r w:rsidRPr="009310AE">
        <w:rPr>
          <w:rFonts w:cs="Times New Roman"/>
          <w:color w:val="222222"/>
          <w:szCs w:val="24"/>
          <w:shd w:val="clear" w:color="auto" w:fill="FFFFFF"/>
        </w:rPr>
        <w:t>(9), 1344-1363.</w:t>
      </w:r>
    </w:p>
    <w:p w14:paraId="7C6A0037" w14:textId="77777777" w:rsidR="00E03CE2" w:rsidRPr="009310AE" w:rsidRDefault="00E03CE2" w:rsidP="009310AE">
      <w:pPr>
        <w:ind w:left="720" w:hanging="720"/>
        <w:rPr>
          <w:rFonts w:cs="Times New Roman"/>
          <w:color w:val="222222"/>
          <w:szCs w:val="24"/>
          <w:shd w:val="clear" w:color="auto" w:fill="FFFFFF"/>
        </w:rPr>
      </w:pPr>
      <w:r w:rsidRPr="009310AE">
        <w:rPr>
          <w:rFonts w:cs="Times New Roman"/>
          <w:color w:val="222222"/>
          <w:szCs w:val="24"/>
          <w:shd w:val="clear" w:color="auto" w:fill="FFFFFF"/>
        </w:rPr>
        <w:t>Reddi, A. S. (2020). Acid–Base Disorders in Critically Ill Patients. In </w:t>
      </w:r>
      <w:r w:rsidRPr="009310AE">
        <w:rPr>
          <w:rFonts w:cs="Times New Roman"/>
          <w:i/>
          <w:iCs/>
          <w:color w:val="222222"/>
          <w:szCs w:val="24"/>
          <w:shd w:val="clear" w:color="auto" w:fill="FFFFFF"/>
        </w:rPr>
        <w:t>Acid-Base Disorders</w:t>
      </w:r>
      <w:r w:rsidRPr="009310AE">
        <w:rPr>
          <w:rFonts w:cs="Times New Roman"/>
          <w:color w:val="222222"/>
          <w:szCs w:val="24"/>
          <w:shd w:val="clear" w:color="auto" w:fill="FFFFFF"/>
        </w:rPr>
        <w:t> (pp. 263-279). Springer, Cham.</w:t>
      </w:r>
    </w:p>
    <w:p w14:paraId="09973E1D" w14:textId="77777777" w:rsidR="00E03CE2" w:rsidRPr="009310AE" w:rsidRDefault="00E03CE2" w:rsidP="009310AE">
      <w:pPr>
        <w:ind w:left="720" w:hanging="720"/>
        <w:rPr>
          <w:rFonts w:cs="Times New Roman"/>
          <w:color w:val="222222"/>
          <w:szCs w:val="24"/>
          <w:shd w:val="clear" w:color="auto" w:fill="FFFFFF"/>
        </w:rPr>
      </w:pPr>
      <w:r w:rsidRPr="009310AE">
        <w:rPr>
          <w:rFonts w:cs="Times New Roman"/>
          <w:color w:val="222222"/>
          <w:szCs w:val="24"/>
          <w:shd w:val="clear" w:color="auto" w:fill="FFFFFF"/>
        </w:rPr>
        <w:t>Simon, V., Ho, D. D., &amp; Karim, Q. A. (2006). HIV/AIDS epidemiology, pathogenesis, prevention, and treatment. </w:t>
      </w:r>
      <w:r w:rsidRPr="009310AE">
        <w:rPr>
          <w:rFonts w:cs="Times New Roman"/>
          <w:i/>
          <w:iCs/>
          <w:color w:val="222222"/>
          <w:szCs w:val="24"/>
          <w:shd w:val="clear" w:color="auto" w:fill="FFFFFF"/>
        </w:rPr>
        <w:t>The Lancet</w:t>
      </w:r>
      <w:r w:rsidRPr="009310AE">
        <w:rPr>
          <w:rFonts w:cs="Times New Roman"/>
          <w:color w:val="222222"/>
          <w:szCs w:val="24"/>
          <w:shd w:val="clear" w:color="auto" w:fill="FFFFFF"/>
        </w:rPr>
        <w:t>, </w:t>
      </w:r>
      <w:r w:rsidRPr="009310AE">
        <w:rPr>
          <w:rFonts w:cs="Times New Roman"/>
          <w:i/>
          <w:iCs/>
          <w:color w:val="222222"/>
          <w:szCs w:val="24"/>
          <w:shd w:val="clear" w:color="auto" w:fill="FFFFFF"/>
        </w:rPr>
        <w:t>368</w:t>
      </w:r>
      <w:r w:rsidRPr="009310AE">
        <w:rPr>
          <w:rFonts w:cs="Times New Roman"/>
          <w:color w:val="222222"/>
          <w:szCs w:val="24"/>
          <w:shd w:val="clear" w:color="auto" w:fill="FFFFFF"/>
        </w:rPr>
        <w:t>(9534), 489-504.</w:t>
      </w:r>
    </w:p>
    <w:p w14:paraId="0A368307" w14:textId="77777777" w:rsidR="00E03CE2" w:rsidRPr="009310AE" w:rsidRDefault="00E03CE2" w:rsidP="009310AE">
      <w:pPr>
        <w:ind w:left="720" w:hanging="720"/>
        <w:rPr>
          <w:rFonts w:cs="Times New Roman"/>
          <w:color w:val="222222"/>
          <w:szCs w:val="24"/>
          <w:shd w:val="clear" w:color="auto" w:fill="FFFFFF"/>
        </w:rPr>
      </w:pPr>
      <w:r w:rsidRPr="009310AE">
        <w:rPr>
          <w:rFonts w:cs="Times New Roman"/>
          <w:color w:val="222222"/>
          <w:szCs w:val="24"/>
          <w:shd w:val="clear" w:color="auto" w:fill="FFFFFF"/>
        </w:rPr>
        <w:t>Smith, A., Moran, A., Boyd, M. C., Bulman, M., Shenton, A., Smith, L., ... &amp; Evans, D. G. R. (2007). Phenocopies in BRCA1 and BRCA2 families: evidence for modifier genes and implications for screening. </w:t>
      </w:r>
      <w:r w:rsidRPr="009310AE">
        <w:rPr>
          <w:rFonts w:cs="Times New Roman"/>
          <w:i/>
          <w:iCs/>
          <w:color w:val="222222"/>
          <w:szCs w:val="24"/>
          <w:shd w:val="clear" w:color="auto" w:fill="FFFFFF"/>
        </w:rPr>
        <w:t>Journal of medical genetics</w:t>
      </w:r>
      <w:r w:rsidRPr="009310AE">
        <w:rPr>
          <w:rFonts w:cs="Times New Roman"/>
          <w:color w:val="222222"/>
          <w:szCs w:val="24"/>
          <w:shd w:val="clear" w:color="auto" w:fill="FFFFFF"/>
        </w:rPr>
        <w:t>, </w:t>
      </w:r>
      <w:r w:rsidRPr="009310AE">
        <w:rPr>
          <w:rFonts w:cs="Times New Roman"/>
          <w:i/>
          <w:iCs/>
          <w:color w:val="222222"/>
          <w:szCs w:val="24"/>
          <w:shd w:val="clear" w:color="auto" w:fill="FFFFFF"/>
        </w:rPr>
        <w:t>44</w:t>
      </w:r>
      <w:r w:rsidRPr="009310AE">
        <w:rPr>
          <w:rFonts w:cs="Times New Roman"/>
          <w:color w:val="222222"/>
          <w:szCs w:val="24"/>
          <w:shd w:val="clear" w:color="auto" w:fill="FFFFFF"/>
        </w:rPr>
        <w:t>(1), 10-15.</w:t>
      </w:r>
    </w:p>
    <w:p w14:paraId="684D68A0" w14:textId="77777777" w:rsidR="00E03CE2" w:rsidRPr="009310AE" w:rsidRDefault="00E03CE2" w:rsidP="009310AE">
      <w:pPr>
        <w:ind w:left="720" w:hanging="720"/>
        <w:rPr>
          <w:rFonts w:cs="Times New Roman"/>
          <w:color w:val="222222"/>
          <w:szCs w:val="24"/>
          <w:shd w:val="clear" w:color="auto" w:fill="FFFFFF"/>
        </w:rPr>
      </w:pPr>
      <w:r w:rsidRPr="009310AE">
        <w:rPr>
          <w:rFonts w:cs="Times New Roman"/>
          <w:color w:val="222222"/>
          <w:szCs w:val="24"/>
          <w:shd w:val="clear" w:color="auto" w:fill="FFFFFF"/>
        </w:rPr>
        <w:t>Zhang, Z. F., Zhang, J. J., &amp; Ma, Q. Z. (2010, March). Study on Pollution Control Measures of Electromagnetic Radiation Based on Ideas of Energy-saving. In </w:t>
      </w:r>
      <w:r w:rsidRPr="009310AE">
        <w:rPr>
          <w:rFonts w:cs="Times New Roman"/>
          <w:i/>
          <w:iCs/>
          <w:color w:val="222222"/>
          <w:szCs w:val="24"/>
          <w:shd w:val="clear" w:color="auto" w:fill="FFFFFF"/>
        </w:rPr>
        <w:t>2010 Asia-Pacific Power and Energy Engineering Conference</w:t>
      </w:r>
      <w:r w:rsidRPr="009310AE">
        <w:rPr>
          <w:rFonts w:cs="Times New Roman"/>
          <w:color w:val="222222"/>
          <w:szCs w:val="24"/>
          <w:shd w:val="clear" w:color="auto" w:fill="FFFFFF"/>
        </w:rPr>
        <w:t> (pp. 1-4). IEEE.</w:t>
      </w:r>
      <w:bookmarkStart w:id="0" w:name="_GoBack"/>
      <w:bookmarkEnd w:id="0"/>
    </w:p>
    <w:sectPr w:rsidR="00E03CE2" w:rsidRPr="009310AE" w:rsidSect="00895CA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34BA2" w14:textId="77777777" w:rsidR="003028E3" w:rsidRDefault="003028E3" w:rsidP="009D058E">
      <w:pPr>
        <w:spacing w:line="240" w:lineRule="auto"/>
      </w:pPr>
      <w:r>
        <w:separator/>
      </w:r>
    </w:p>
  </w:endnote>
  <w:endnote w:type="continuationSeparator" w:id="0">
    <w:p w14:paraId="3D5A9693" w14:textId="77777777" w:rsidR="003028E3" w:rsidRDefault="003028E3" w:rsidP="009D0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1F3F9" w14:textId="77777777" w:rsidR="003028E3" w:rsidRDefault="003028E3" w:rsidP="009D058E">
      <w:pPr>
        <w:spacing w:line="240" w:lineRule="auto"/>
      </w:pPr>
      <w:r>
        <w:separator/>
      </w:r>
    </w:p>
  </w:footnote>
  <w:footnote w:type="continuationSeparator" w:id="0">
    <w:p w14:paraId="11C671FD" w14:textId="77777777" w:rsidR="003028E3" w:rsidRDefault="003028E3" w:rsidP="009D05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863295"/>
      <w:docPartObj>
        <w:docPartGallery w:val="Page Numbers (Top of Page)"/>
        <w:docPartUnique/>
      </w:docPartObj>
    </w:sdtPr>
    <w:sdtEndPr>
      <w:rPr>
        <w:noProof/>
      </w:rPr>
    </w:sdtEndPr>
    <w:sdtContent>
      <w:p w14:paraId="6CF11F4D" w14:textId="03FD295A" w:rsidR="009D058E" w:rsidRDefault="00895CA4" w:rsidP="00895CA4">
        <w:pPr>
          <w:pStyle w:val="Header"/>
          <w:ind w:firstLine="0"/>
        </w:pPr>
        <w:r>
          <w:tab/>
        </w:r>
        <w:r>
          <w:tab/>
        </w:r>
        <w:r w:rsidR="009D058E">
          <w:fldChar w:fldCharType="begin"/>
        </w:r>
        <w:r w:rsidR="009D058E">
          <w:instrText xml:space="preserve"> PAGE   \* MERGEFORMAT </w:instrText>
        </w:r>
        <w:r w:rsidR="009D058E">
          <w:fldChar w:fldCharType="separate"/>
        </w:r>
        <w:r w:rsidR="00FD52FD">
          <w:rPr>
            <w:noProof/>
          </w:rPr>
          <w:t>2</w:t>
        </w:r>
        <w:r w:rsidR="009D058E">
          <w:rPr>
            <w:noProof/>
          </w:rPr>
          <w:fldChar w:fldCharType="end"/>
        </w:r>
      </w:p>
    </w:sdtContent>
  </w:sdt>
  <w:p w14:paraId="33A55676" w14:textId="77777777" w:rsidR="009D058E" w:rsidRDefault="009D0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539306"/>
      <w:docPartObj>
        <w:docPartGallery w:val="Page Numbers (Top of Page)"/>
        <w:docPartUnique/>
      </w:docPartObj>
    </w:sdtPr>
    <w:sdtEndPr>
      <w:rPr>
        <w:noProof/>
      </w:rPr>
    </w:sdtEndPr>
    <w:sdtContent>
      <w:p w14:paraId="59549A9D" w14:textId="149826BC" w:rsidR="00895CA4" w:rsidRDefault="00895CA4" w:rsidP="00895CA4">
        <w:pPr>
          <w:pStyle w:val="Header"/>
          <w:ind w:firstLine="0"/>
        </w:pPr>
        <w:r>
          <w:tab/>
        </w:r>
        <w:r>
          <w:tab/>
        </w:r>
        <w:r>
          <w:fldChar w:fldCharType="begin"/>
        </w:r>
        <w:r>
          <w:instrText xml:space="preserve"> PAGE   \* MERGEFORMAT </w:instrText>
        </w:r>
        <w:r>
          <w:fldChar w:fldCharType="separate"/>
        </w:r>
        <w:r w:rsidR="00FD52FD">
          <w:rPr>
            <w:noProof/>
          </w:rPr>
          <w:t>1</w:t>
        </w:r>
        <w:r>
          <w:rPr>
            <w:noProof/>
          </w:rPr>
          <w:fldChar w:fldCharType="end"/>
        </w:r>
      </w:p>
    </w:sdtContent>
  </w:sdt>
  <w:p w14:paraId="16870B3D" w14:textId="77777777" w:rsidR="009D058E" w:rsidRDefault="009D0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49"/>
    <w:rsid w:val="00030C4D"/>
    <w:rsid w:val="00037D28"/>
    <w:rsid w:val="0004021C"/>
    <w:rsid w:val="000B10D5"/>
    <w:rsid w:val="000B7B4B"/>
    <w:rsid w:val="000C0238"/>
    <w:rsid w:val="00115518"/>
    <w:rsid w:val="001279B8"/>
    <w:rsid w:val="00171597"/>
    <w:rsid w:val="0017460E"/>
    <w:rsid w:val="001916FC"/>
    <w:rsid w:val="001B08D9"/>
    <w:rsid w:val="001F4B4B"/>
    <w:rsid w:val="002229EE"/>
    <w:rsid w:val="00296229"/>
    <w:rsid w:val="002B78AE"/>
    <w:rsid w:val="002E62E9"/>
    <w:rsid w:val="002E7E1D"/>
    <w:rsid w:val="003028E3"/>
    <w:rsid w:val="00334A4C"/>
    <w:rsid w:val="00370F5E"/>
    <w:rsid w:val="003A6AD7"/>
    <w:rsid w:val="003C3478"/>
    <w:rsid w:val="003D0C87"/>
    <w:rsid w:val="003F05F2"/>
    <w:rsid w:val="0042257A"/>
    <w:rsid w:val="00444A0D"/>
    <w:rsid w:val="0046567B"/>
    <w:rsid w:val="004804FC"/>
    <w:rsid w:val="00504EF9"/>
    <w:rsid w:val="00602FFA"/>
    <w:rsid w:val="00636C78"/>
    <w:rsid w:val="00637825"/>
    <w:rsid w:val="006B54AF"/>
    <w:rsid w:val="007E35AB"/>
    <w:rsid w:val="00895CA4"/>
    <w:rsid w:val="008B2079"/>
    <w:rsid w:val="009114E0"/>
    <w:rsid w:val="009310AE"/>
    <w:rsid w:val="00933481"/>
    <w:rsid w:val="00972C1D"/>
    <w:rsid w:val="009769A2"/>
    <w:rsid w:val="009C6349"/>
    <w:rsid w:val="009D058E"/>
    <w:rsid w:val="009F0A23"/>
    <w:rsid w:val="00A07F93"/>
    <w:rsid w:val="00A4083E"/>
    <w:rsid w:val="00A44039"/>
    <w:rsid w:val="00A609CA"/>
    <w:rsid w:val="00AE5758"/>
    <w:rsid w:val="00AF2CF2"/>
    <w:rsid w:val="00B7681B"/>
    <w:rsid w:val="00B82A4B"/>
    <w:rsid w:val="00BA5AC4"/>
    <w:rsid w:val="00BA7790"/>
    <w:rsid w:val="00BB3F57"/>
    <w:rsid w:val="00C845C3"/>
    <w:rsid w:val="00CE5484"/>
    <w:rsid w:val="00D06E9B"/>
    <w:rsid w:val="00D2496F"/>
    <w:rsid w:val="00D92F2F"/>
    <w:rsid w:val="00DB37CE"/>
    <w:rsid w:val="00DE10A2"/>
    <w:rsid w:val="00E01BDA"/>
    <w:rsid w:val="00E03CE2"/>
    <w:rsid w:val="00E73CC0"/>
    <w:rsid w:val="00ED33AB"/>
    <w:rsid w:val="00ED3B11"/>
    <w:rsid w:val="00EE17FF"/>
    <w:rsid w:val="00EE4C19"/>
    <w:rsid w:val="00F20768"/>
    <w:rsid w:val="00F57D8A"/>
    <w:rsid w:val="00F74508"/>
    <w:rsid w:val="00F84A7C"/>
    <w:rsid w:val="00F873FF"/>
    <w:rsid w:val="00FD0CC0"/>
    <w:rsid w:val="00FD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D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0768"/>
    <w:pPr>
      <w:spacing w:before="100" w:beforeAutospacing="1" w:after="100" w:afterAutospacing="1" w:line="240" w:lineRule="auto"/>
      <w:ind w:firstLine="0"/>
    </w:pPr>
    <w:rPr>
      <w:rFonts w:eastAsia="Times New Roman" w:cs="Times New Roman"/>
      <w:szCs w:val="24"/>
    </w:rPr>
  </w:style>
  <w:style w:type="character" w:styleId="Strong">
    <w:name w:val="Strong"/>
    <w:basedOn w:val="DefaultParagraphFont"/>
    <w:uiPriority w:val="22"/>
    <w:qFormat/>
    <w:rsid w:val="00F20768"/>
    <w:rPr>
      <w:b/>
      <w:bCs/>
    </w:rPr>
  </w:style>
  <w:style w:type="paragraph" w:styleId="Header">
    <w:name w:val="header"/>
    <w:basedOn w:val="Normal"/>
    <w:link w:val="HeaderChar"/>
    <w:uiPriority w:val="99"/>
    <w:unhideWhenUsed/>
    <w:rsid w:val="009D058E"/>
    <w:pPr>
      <w:tabs>
        <w:tab w:val="center" w:pos="4680"/>
        <w:tab w:val="right" w:pos="9360"/>
      </w:tabs>
      <w:spacing w:line="240" w:lineRule="auto"/>
    </w:pPr>
  </w:style>
  <w:style w:type="character" w:customStyle="1" w:styleId="HeaderChar">
    <w:name w:val="Header Char"/>
    <w:basedOn w:val="DefaultParagraphFont"/>
    <w:link w:val="Header"/>
    <w:uiPriority w:val="99"/>
    <w:rsid w:val="009D058E"/>
  </w:style>
  <w:style w:type="paragraph" w:styleId="Footer">
    <w:name w:val="footer"/>
    <w:basedOn w:val="Normal"/>
    <w:link w:val="FooterChar"/>
    <w:uiPriority w:val="99"/>
    <w:unhideWhenUsed/>
    <w:rsid w:val="009D058E"/>
    <w:pPr>
      <w:tabs>
        <w:tab w:val="center" w:pos="4680"/>
        <w:tab w:val="right" w:pos="9360"/>
      </w:tabs>
      <w:spacing w:line="240" w:lineRule="auto"/>
    </w:pPr>
  </w:style>
  <w:style w:type="character" w:customStyle="1" w:styleId="FooterChar">
    <w:name w:val="Footer Char"/>
    <w:basedOn w:val="DefaultParagraphFont"/>
    <w:link w:val="Footer"/>
    <w:uiPriority w:val="99"/>
    <w:rsid w:val="009D0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0768"/>
    <w:pPr>
      <w:spacing w:before="100" w:beforeAutospacing="1" w:after="100" w:afterAutospacing="1" w:line="240" w:lineRule="auto"/>
      <w:ind w:firstLine="0"/>
    </w:pPr>
    <w:rPr>
      <w:rFonts w:eastAsia="Times New Roman" w:cs="Times New Roman"/>
      <w:szCs w:val="24"/>
    </w:rPr>
  </w:style>
  <w:style w:type="character" w:styleId="Strong">
    <w:name w:val="Strong"/>
    <w:basedOn w:val="DefaultParagraphFont"/>
    <w:uiPriority w:val="22"/>
    <w:qFormat/>
    <w:rsid w:val="00F20768"/>
    <w:rPr>
      <w:b/>
      <w:bCs/>
    </w:rPr>
  </w:style>
  <w:style w:type="paragraph" w:styleId="Header">
    <w:name w:val="header"/>
    <w:basedOn w:val="Normal"/>
    <w:link w:val="HeaderChar"/>
    <w:uiPriority w:val="99"/>
    <w:unhideWhenUsed/>
    <w:rsid w:val="009D058E"/>
    <w:pPr>
      <w:tabs>
        <w:tab w:val="center" w:pos="4680"/>
        <w:tab w:val="right" w:pos="9360"/>
      </w:tabs>
      <w:spacing w:line="240" w:lineRule="auto"/>
    </w:pPr>
  </w:style>
  <w:style w:type="character" w:customStyle="1" w:styleId="HeaderChar">
    <w:name w:val="Header Char"/>
    <w:basedOn w:val="DefaultParagraphFont"/>
    <w:link w:val="Header"/>
    <w:uiPriority w:val="99"/>
    <w:rsid w:val="009D058E"/>
  </w:style>
  <w:style w:type="paragraph" w:styleId="Footer">
    <w:name w:val="footer"/>
    <w:basedOn w:val="Normal"/>
    <w:link w:val="FooterChar"/>
    <w:uiPriority w:val="99"/>
    <w:unhideWhenUsed/>
    <w:rsid w:val="009D058E"/>
    <w:pPr>
      <w:tabs>
        <w:tab w:val="center" w:pos="4680"/>
        <w:tab w:val="right" w:pos="9360"/>
      </w:tabs>
      <w:spacing w:line="240" w:lineRule="auto"/>
    </w:pPr>
  </w:style>
  <w:style w:type="character" w:customStyle="1" w:styleId="FooterChar">
    <w:name w:val="Footer Char"/>
    <w:basedOn w:val="DefaultParagraphFont"/>
    <w:link w:val="Footer"/>
    <w:uiPriority w:val="99"/>
    <w:rsid w:val="009D0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41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JURGEN</cp:lastModifiedBy>
  <cp:revision>4</cp:revision>
  <dcterms:created xsi:type="dcterms:W3CDTF">2021-09-08T19:17:00Z</dcterms:created>
  <dcterms:modified xsi:type="dcterms:W3CDTF">2021-09-08T09:06:00Z</dcterms:modified>
</cp:coreProperties>
</file>