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01" w:rsidRPr="00521EB9" w:rsidRDefault="007D1901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901" w:rsidRPr="00521EB9" w:rsidRDefault="007D1901" w:rsidP="00521EB9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Health Information Systems</w:t>
      </w:r>
    </w:p>
    <w:p w:rsidR="007D1901" w:rsidRPr="00521EB9" w:rsidRDefault="007D1901" w:rsidP="00521EB9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Name</w:t>
      </w:r>
    </w:p>
    <w:p w:rsidR="007D1901" w:rsidRPr="00521EB9" w:rsidRDefault="007D1901" w:rsidP="00521EB9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Professor</w:t>
      </w:r>
      <w:bookmarkStart w:id="0" w:name="_GoBack"/>
      <w:bookmarkEnd w:id="0"/>
    </w:p>
    <w:p w:rsidR="007D1901" w:rsidRPr="00521EB9" w:rsidRDefault="007D1901" w:rsidP="00521EB9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</w:p>
    <w:p w:rsidR="007D1901" w:rsidRPr="00521EB9" w:rsidRDefault="007D1901" w:rsidP="00521EB9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Date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7D1901" w:rsidRPr="00521EB9" w:rsidRDefault="007D1901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570544667"/>
        <w:docPartObj>
          <w:docPartGallery w:val="Table of Contents"/>
          <w:docPartUnique/>
        </w:docPartObj>
      </w:sdtPr>
      <w:sdtEndPr>
        <w:rPr>
          <w:rFonts w:eastAsiaTheme="minorHAnsi"/>
          <w:noProof/>
          <w:lang w:eastAsia="en-US"/>
        </w:rPr>
      </w:sdtEndPr>
      <w:sdtContent>
        <w:p w:rsidR="007D1901" w:rsidRPr="00521EB9" w:rsidRDefault="007D1901" w:rsidP="00521EB9">
          <w:pPr>
            <w:pStyle w:val="TOCHeading"/>
            <w:spacing w:line="480" w:lineRule="auto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521EB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Table of Contents</w:t>
          </w:r>
        </w:p>
        <w:p w:rsidR="00521EB9" w:rsidRPr="00521EB9" w:rsidRDefault="007D1901" w:rsidP="00521EB9">
          <w:pPr>
            <w:pStyle w:val="TOC1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r w:rsidRPr="00521EB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Pr="00521EB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521EB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70444868" w:history="1">
            <w:r w:rsidR="00521EB9" w:rsidRPr="00521EB9">
              <w:rPr>
                <w:rStyle w:val="Hyperlink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Healthcare Information systems</w:t>
            </w:r>
            <w:r w:rsidR="00521EB9"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521EB9"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521EB9"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_Toc70444868 \h </w:instrText>
            </w:r>
            <w:r w:rsidR="00521EB9"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521EB9"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521EB9"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="00521EB9"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521EB9" w:rsidRPr="00521EB9" w:rsidRDefault="00521EB9" w:rsidP="00521EB9">
          <w:pPr>
            <w:pStyle w:val="TOC1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hyperlink w:anchor="_Toc70444869" w:history="1">
            <w:r w:rsidRPr="00521EB9">
              <w:rPr>
                <w:rStyle w:val="Hyperlink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Abstract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_Toc70444869 \h </w:instrTex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521EB9" w:rsidRPr="00521EB9" w:rsidRDefault="00521EB9" w:rsidP="00521EB9">
          <w:pPr>
            <w:pStyle w:val="TOC1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hyperlink w:anchor="_Toc70444870" w:history="1">
            <w:r w:rsidRPr="00521EB9">
              <w:rPr>
                <w:rStyle w:val="Hyperlink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Introduction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_Toc70444870 \h </w:instrTex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521EB9" w:rsidRPr="00521EB9" w:rsidRDefault="00521EB9" w:rsidP="00521EB9">
          <w:pPr>
            <w:pStyle w:val="TOC1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hyperlink w:anchor="_Toc70444871" w:history="1">
            <w:r w:rsidRPr="00521EB9">
              <w:rPr>
                <w:rStyle w:val="Hyperlink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Information systems in Perspective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_Toc70444871 \h </w:instrTex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521EB9" w:rsidRPr="00521EB9" w:rsidRDefault="00521EB9" w:rsidP="00521EB9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hyperlink w:anchor="_Toc70444872" w:history="1">
            <w:r w:rsidRPr="00521EB9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Electronic Medical Record (EMR) and Electronic Health Record (EHR)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_Toc70444872 \h </w:instrTex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521EB9" w:rsidRPr="00521EB9" w:rsidRDefault="00521EB9" w:rsidP="00521EB9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hyperlink w:anchor="_Toc70444873" w:history="1">
            <w:r w:rsidRPr="00521EB9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Practice Management Software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_Toc70444873 \h </w:instrTex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521EB9" w:rsidRPr="00521EB9" w:rsidRDefault="00521EB9" w:rsidP="00521EB9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hyperlink w:anchor="_Toc70444874" w:history="1">
            <w:r w:rsidRPr="00521EB9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Patient Portals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_Toc70444874 \h </w:instrTex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521EB9" w:rsidRPr="00521EB9" w:rsidRDefault="00521EB9" w:rsidP="00521EB9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hyperlink w:anchor="_Toc70444875" w:history="1">
            <w:r w:rsidRPr="00521EB9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Master Patient Index (MPI)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_Toc70444875 \h </w:instrTex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521EB9" w:rsidRPr="00521EB9" w:rsidRDefault="00521EB9" w:rsidP="00521EB9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hyperlink w:anchor="_Toc70444876" w:history="1">
            <w:r w:rsidRPr="00521EB9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Remote Patient Monitoring (RPM)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_Toc70444876 \h </w:instrTex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521EB9" w:rsidRPr="00521EB9" w:rsidRDefault="00521EB9" w:rsidP="00521EB9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hyperlink w:anchor="_Toc70444877" w:history="1">
            <w:r w:rsidRPr="00521EB9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Clinical Decision Support (CDS)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_Toc70444877 \h </w:instrTex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521EB9" w:rsidRPr="00521EB9" w:rsidRDefault="00521EB9" w:rsidP="00521EB9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hyperlink w:anchor="_Toc70444878" w:history="1">
            <w:r w:rsidRPr="00521EB9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Laboratory Information System (LIS)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_Toc70444878 \h </w:instrTex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521EB9" w:rsidRPr="00521EB9" w:rsidRDefault="00521EB9" w:rsidP="00521EB9">
          <w:pPr>
            <w:pStyle w:val="TOC1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hyperlink w:anchor="_Toc70444879" w:history="1">
            <w:r w:rsidRPr="00521EB9">
              <w:rPr>
                <w:rStyle w:val="Hyperlink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Measurement Parameters and Safeguards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_Toc70444879 \h </w:instrTex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521EB9" w:rsidRPr="00521EB9" w:rsidRDefault="00521EB9" w:rsidP="00521EB9">
          <w:pPr>
            <w:pStyle w:val="TOC1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hyperlink w:anchor="_Toc70444880" w:history="1">
            <w:r w:rsidRPr="00521EB9">
              <w:rPr>
                <w:rStyle w:val="Hyperlink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Expertise and Training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_Toc70444880 \h </w:instrTex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8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521EB9" w:rsidRPr="00521EB9" w:rsidRDefault="00521EB9" w:rsidP="00521EB9">
          <w:pPr>
            <w:pStyle w:val="TOC1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hyperlink w:anchor="_Toc70444881" w:history="1">
            <w:r w:rsidRPr="00521EB9">
              <w:rPr>
                <w:rStyle w:val="Hyperlink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Conclusion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_Toc70444881 \h </w:instrTex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521EB9" w:rsidRPr="00521EB9" w:rsidRDefault="00521EB9" w:rsidP="00521EB9">
          <w:pPr>
            <w:pStyle w:val="TOC1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GB" w:eastAsia="en-GB"/>
            </w:rPr>
          </w:pPr>
          <w:hyperlink w:anchor="_Toc70444882" w:history="1">
            <w:r w:rsidRPr="00521EB9">
              <w:rPr>
                <w:rStyle w:val="Hyperlink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References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_Toc70444882 \h </w:instrTex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10</w:t>
            </w:r>
            <w:r w:rsidRPr="00521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7D1901" w:rsidRPr="00521EB9" w:rsidRDefault="007D1901" w:rsidP="00521EB9">
          <w:pPr>
            <w:spacing w:line="480" w:lineRule="auto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521EB9">
            <w:rPr>
              <w:rFonts w:ascii="Times New Roman" w:hAnsi="Times New Roman" w:cs="Times New Roman"/>
              <w:b/>
              <w:bCs/>
              <w:noProof/>
              <w:color w:val="000000" w:themeColor="text1"/>
              <w:sz w:val="24"/>
              <w:szCs w:val="24"/>
            </w:rPr>
            <w:fldChar w:fldCharType="end"/>
          </w:r>
        </w:p>
      </w:sdtContent>
    </w:sdt>
    <w:p w:rsidR="007D1901" w:rsidRPr="00521EB9" w:rsidRDefault="007D1901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3523" w:rsidRPr="00521EB9" w:rsidRDefault="001E3523" w:rsidP="00521EB9">
      <w:pPr>
        <w:pStyle w:val="Heading1"/>
        <w:spacing w:before="0" w:line="48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70444868"/>
      <w:r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Healthcare Information </w:t>
      </w:r>
      <w:r w:rsidR="00EB3F54"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system</w:t>
      </w:r>
      <w:r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bookmarkEnd w:id="1"/>
      <w:r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E3523" w:rsidRPr="00521EB9" w:rsidRDefault="00F01980" w:rsidP="00521EB9">
      <w:pPr>
        <w:pStyle w:val="Heading1"/>
        <w:spacing w:line="48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70444869"/>
      <w:r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Abstract</w:t>
      </w:r>
      <w:bookmarkEnd w:id="2"/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Information systems in healthcare have gotten progressively </w:t>
      </w:r>
      <w:r w:rsidR="003B22BA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advanced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22BA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over the last few decades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</w:t>
      </w:r>
      <w:r w:rsidR="003B22BA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their consistently </w:t>
      </w:r>
      <w:r w:rsidR="003B22BA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growing</w:t>
      </w:r>
      <w:r w:rsidR="007D190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scope of capabilitie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D190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</w:t>
      </w:r>
      <w:r w:rsidR="007D190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led to widespread use of these systems throughout the healthcare industry. In fact, use of some level of information management </w:t>
      </w:r>
      <w:r w:rsidR="007D190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7D190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virtually universal among </w:t>
      </w:r>
      <w:r w:rsidR="007D190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facilities, healthcare providers, </w:t>
      </w:r>
      <w:r w:rsidR="007D190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and health systems.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190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This paper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discuss</w:t>
      </w:r>
      <w:r w:rsidR="007D190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different health care information systems and how they are important in dispensing information throughout an</w:t>
      </w:r>
      <w:r w:rsidR="0074630A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 entire healthcare facility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focusing on their key components, their contributing factors and ways of measuring every part.</w:t>
      </w:r>
    </w:p>
    <w:p w:rsidR="001E3523" w:rsidRPr="00521EB9" w:rsidRDefault="001E3523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3523" w:rsidRPr="00521EB9" w:rsidRDefault="001E3523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901" w:rsidRPr="00521EB9" w:rsidRDefault="007D1901" w:rsidP="00521EB9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901" w:rsidRPr="00521EB9" w:rsidRDefault="007D1901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901" w:rsidRPr="00521EB9" w:rsidRDefault="007D1901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901" w:rsidRPr="00521EB9" w:rsidRDefault="007D1901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901" w:rsidRPr="00521EB9" w:rsidRDefault="007D1901" w:rsidP="00521EB9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901" w:rsidRPr="00521EB9" w:rsidRDefault="007D1901" w:rsidP="00521EB9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901" w:rsidRPr="00521EB9" w:rsidRDefault="007D1901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901" w:rsidRPr="00521EB9" w:rsidRDefault="007D1901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901" w:rsidRPr="00521EB9" w:rsidRDefault="007D1901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3523" w:rsidRPr="00521EB9" w:rsidRDefault="00F01980" w:rsidP="00521EB9">
      <w:pPr>
        <w:pStyle w:val="Heading1"/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70444870"/>
      <w:r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Introduction</w:t>
      </w:r>
      <w:bookmarkEnd w:id="3"/>
    </w:p>
    <w:p w:rsidR="001E3523" w:rsidRPr="00521EB9" w:rsidRDefault="00F01980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exchange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significant to the conveyance of care on all levels of the healthcare conveyance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—the patient, the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group, the healthcare </w:t>
      </w:r>
      <w:r w:rsidR="0074630A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facility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, and the including political-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financial situation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To analyze and treat singular patients successfully, singular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providers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care groups should approach at any rate three significant sorts of clinical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—the patient's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record, the quickly evolving clinical proof base, and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provider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orders directing the interaction of patient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(NCBI, 2005).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health information system (HIS) alludes to a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intended to oversee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information. This incorporates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that gather, store, oversee and communicate a patient's electronic clinical record (EMR), a medical clinic's operational administration or a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supporting healthcare strategy choices. </w:t>
      </w:r>
    </w:p>
    <w:p w:rsidR="001E3523" w:rsidRPr="00521EB9" w:rsidRDefault="00F01980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facilities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constantly looking for better approaches to improve patient results and make a proficient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facility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Electronic records are changing the manner in which healthcare 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facilities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 by putting away all quiet records and tests midway giving moment admittance to clinical staff and improving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doctor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patient </w:t>
      </w:r>
      <w:r w:rsidR="0074630A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interaction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U.S, both the Patient Protection and Affordable Care Act (PPACA), and Health Insurance Portability and Accountability Act (HIPAA) specify that each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facility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Medicare financing should store patient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electronically. Thusly, a sharp expansion in medical clinic PC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in which this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stored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gotten to has arisen. </w:t>
      </w:r>
    </w:p>
    <w:p w:rsidR="001E3523" w:rsidRPr="00521EB9" w:rsidRDefault="001E3523" w:rsidP="00521EB9">
      <w:pPr>
        <w:pStyle w:val="Heading1"/>
        <w:spacing w:line="48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70444871"/>
      <w:r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Information systems in Perspective</w:t>
      </w:r>
      <w:bookmarkEnd w:id="4"/>
      <w:r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Health information systems are accessible to and gotten to by healthcare experts. These incorporate the individuals who manage patients, clinicians, and 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public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officials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Healthcare experts gather information and aggregate it to settle on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choices for singular patients, customer gatherings, and the overall population. Health information systems include: </w:t>
      </w:r>
    </w:p>
    <w:p w:rsidR="001E3523" w:rsidRPr="00521EB9" w:rsidRDefault="001E3523" w:rsidP="00521EB9">
      <w:pPr>
        <w:pStyle w:val="Heading2"/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70444872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Electronic Medical Record (EMR) and Electronic Health Record (EHR)</w:t>
      </w:r>
      <w:bookmarkEnd w:id="5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EMR and EHR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replaced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paper patient records. The clinical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every 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patient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gathered and 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stored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electronically. These records incorporate patient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test results,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doctor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expert visits,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therapies. EHR programs include intuitive clinical 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decision assistance tools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which ready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providers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expected issues, like drug interactio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ns, sensitivities or basic lab 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value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and updates about preventive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additionally clinical rules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guidelines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(B&amp;S, 2017).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Numerous healthcare 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facilities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 cloud-based capacity for touchy information for expanded security. Be that as it may, this may not be a possibility for Critical Access Hospitals who battle with fundamental EHR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</w:t>
      </w:r>
    </w:p>
    <w:p w:rsidR="001E3523" w:rsidRPr="00521EB9" w:rsidRDefault="001E3523" w:rsidP="00521EB9">
      <w:pPr>
        <w:pStyle w:val="Heading2"/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70444873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Practice Management Software</w:t>
      </w:r>
      <w:bookmarkEnd w:id="6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Information systems help healthcare 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facilities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staff with the administration of day by day tasks of the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facility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This incorporates booking of patients and clinical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services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billing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Despite their size from single practice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doctor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to gigantic multi-focus clinics, all healthcare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providers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 practice the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management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The objective is to computerize authoritative errands done as a feature of working together in the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facility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E3523" w:rsidRPr="00521EB9" w:rsidRDefault="001E3523" w:rsidP="00521EB9">
      <w:pPr>
        <w:pStyle w:val="Heading2"/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70444874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Patient Portals</w:t>
      </w:r>
      <w:bookmarkEnd w:id="7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information system empowers patients to scrutinize their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information. They can get to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application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drugs they might be accepting, and their lab results through the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online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Some tolerant entrances additionally work with dynamic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communication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healthcare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experts, including doctors, drug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doctor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in regards to their medicine top off solicitations, and planning of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application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(Scott-Clark, 2018). Patient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portal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software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improves patient commitment, offering on the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online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patient instruction, electronic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communication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clinicians and advanced admittance to individual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(B&amp;S, 2017). </w:t>
      </w:r>
    </w:p>
    <w:p w:rsidR="001E3523" w:rsidRPr="00521EB9" w:rsidRDefault="0074630A" w:rsidP="00521EB9">
      <w:pPr>
        <w:pStyle w:val="Heading2"/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70444875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Master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Patient Index (MPI)</w:t>
      </w:r>
      <w:bookmarkEnd w:id="8"/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product of this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system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connects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patient records to more than one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database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MPI contains records for any 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patient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enlisted at a healthcare </w:t>
      </w:r>
      <w:r w:rsidR="0074630A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facility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MPI makes a file on every one of the records for that patient. MPIs diminish copy patient records and keep away from wrong tolerant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could bring about persistent case dissents (Scott-Clark, 2018). </w:t>
      </w:r>
    </w:p>
    <w:p w:rsidR="001E3523" w:rsidRPr="00521EB9" w:rsidRDefault="0074630A" w:rsidP="00521EB9">
      <w:pPr>
        <w:pStyle w:val="Heading2"/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70444876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Remote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Patient Monitoring (RPM)</w:t>
      </w:r>
      <w:bookmarkEnd w:id="9"/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Otherwise called telehealth, RPM gives clinical sensors that can send patient information to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experts. RPM can screen blood glucose levels and pulse. It is especially useful for patients with constant conditions, for example, type </w:t>
      </w:r>
      <w:proofErr w:type="gramStart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2 diabetes</w:t>
      </w:r>
      <w:proofErr w:type="gramEnd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hypertension, or cardiovascular infection.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Information gathered and sent through RPM can be utilized by a healthcare proficient or a healthcare group to distinguish clinical occasions, for example, stroke or cardiovascular failure that require quick and forceful clinical mediation. Information gathered might be utilized as a feature of an exploration project or a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study. RPM is a daily </w:t>
      </w:r>
      <w:r w:rsidR="0074630A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life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saving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patients in </w:t>
      </w:r>
      <w:r w:rsidR="0074630A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remote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regions who can't get to </w:t>
      </w:r>
      <w:r w:rsidR="0074630A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face-to-face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</w:t>
      </w:r>
      <w:r w:rsidR="0074630A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(Scott-Clark, 2018). </w:t>
      </w:r>
    </w:p>
    <w:p w:rsidR="001E3523" w:rsidRPr="00521EB9" w:rsidRDefault="001E3523" w:rsidP="00521EB9">
      <w:pPr>
        <w:pStyle w:val="Heading2"/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Toc70444877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Clinical Decision Support (CDS)</w:t>
      </w:r>
      <w:bookmarkEnd w:id="10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3523" w:rsidRPr="00521EB9" w:rsidRDefault="0074630A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CDS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examines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from clinical and administrative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The point is to help healthcare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providers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settling on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informed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clinical choices.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accessible can give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clinical professionals 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 are planning analyze or foreseeing ailments like medication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interactions 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responses.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CDS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tool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channel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help healthcare experts in focusing on singular customers. </w:t>
      </w:r>
    </w:p>
    <w:p w:rsidR="001E3523" w:rsidRPr="00521EB9" w:rsidRDefault="00E56351" w:rsidP="00521EB9">
      <w:pPr>
        <w:pStyle w:val="Heading2"/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70444878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Laboratory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System (LIS)</w:t>
      </w:r>
      <w:bookmarkEnd w:id="11"/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software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permits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doctor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and lab professionals to facilitate inpatient and outpatient tests for microbiology, hematology, science, and immunology to acquire clinical information. A standard information system for a lab oversees patient socioeconomics, registration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sample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section and handling, and results. </w:t>
      </w:r>
    </w:p>
    <w:p w:rsidR="001E3523" w:rsidRPr="00521EB9" w:rsidRDefault="00E56351" w:rsidP="00521EB9">
      <w:pPr>
        <w:pStyle w:val="Heading1"/>
        <w:spacing w:line="48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" w:name="_Toc70444879"/>
      <w:r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Measurement</w:t>
      </w:r>
      <w:r w:rsidR="001E3523"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Parameters and Safeguards</w:t>
      </w:r>
      <w:bookmarkEnd w:id="12"/>
      <w:r w:rsidR="001E3523"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E3523" w:rsidRPr="00521EB9" w:rsidRDefault="00E56351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Data analytics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 healthcare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facilities continually deliver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information. Health information systems help assemble,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compile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break down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to help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manage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population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diminish healthcare costs. At that point the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investigation can improve patient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E3523" w:rsidRPr="00521EB9" w:rsidRDefault="00E56351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Collaborative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Patients frequently need to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treatments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various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providers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Health information systems —, for example,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exchange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(HIEs) — permit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facilities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to access common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records.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Cost control: Using </w:t>
      </w:r>
      <w:r w:rsidR="0074630A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digital networks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exchange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healthcare information makes efficiencies and cost investment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saving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At the point when local business sectors use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exchange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to share information,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providers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see decreased expenses. On a more limited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size,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hospitals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focus on similar efficiencies with electronic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records.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Financial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operational administration is helped by bookkeeping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software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630A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facilities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billing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healthcare strategy and agreement the board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software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intelligent and instinctive stock control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among numerous other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software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application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(B&amp;S, 2017). </w:t>
      </w:r>
    </w:p>
    <w:p w:rsidR="001E3523" w:rsidRPr="00521EB9" w:rsidRDefault="00F01980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Population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management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Health information systems can total patient information, break down it and recognize patterns in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population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The innovation likewise works backward. Clinical choice emotionally supportive networks can utilize enormous information to help analyze singular patients and treat them. </w:t>
      </w:r>
    </w:p>
    <w:p w:rsidR="001E3523" w:rsidRPr="00521EB9" w:rsidRDefault="00E56351" w:rsidP="00521EB9">
      <w:pPr>
        <w:pStyle w:val="Heading1"/>
        <w:spacing w:line="48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70444880"/>
      <w:r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Expertise</w:t>
      </w:r>
      <w:r w:rsidR="001E3523"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 Training</w:t>
      </w:r>
      <w:bookmarkEnd w:id="13"/>
      <w:r w:rsidR="001E3523"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pattern of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increasing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healthcare IT development and appropriation of these </w:t>
      </w:r>
      <w:r w:rsidR="00EB3F54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all through the healthcare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facilities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made a comparing flood sought after for healthcare IT experts who are familiar with new and arising innovation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application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How that affects those entering or previously working in this quickly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expanding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field is that proceeding with training will be vital to keeping up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edge against the increasing competition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from new competitors flooding into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business in light of that demand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(B&amp;S, 2017).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Many are </w:t>
      </w:r>
      <w:r w:rsidR="00E56351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looking at the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continuing education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means of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certificate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programs. While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one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feel that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his involvement in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field justifies itself, getting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certified adds qualifications to his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resume that make it clear to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managers and customers that he is on top of the game and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charge, knowledgeable in all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aspects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dealing with the most recent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systems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(B&amp;S, 2017). </w:t>
      </w:r>
    </w:p>
    <w:p w:rsidR="001E3523" w:rsidRPr="00521EB9" w:rsidRDefault="001E3523" w:rsidP="00521EB9">
      <w:pPr>
        <w:pStyle w:val="Heading1"/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70444881"/>
      <w:r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Conclusion</w:t>
      </w:r>
      <w:bookmarkEnd w:id="14"/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Sound and dependable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foundation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decision-making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across all health system building blocks, and is fundamental for health system strategy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development and implementation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governance and regulation,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health education,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human resources development, health research, and training, service delivery and financing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(WHO, 2008). </w:t>
      </w:r>
    </w:p>
    <w:p w:rsidR="001E3523" w:rsidRPr="00521EB9" w:rsidRDefault="001E3523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health information system (HIS) is intended to deal with the information gathered and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stored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 </w:t>
      </w:r>
      <w:r w:rsidR="00F01980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29B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facility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This incorporates doctor practices, private and public facilities, </w:t>
      </w:r>
      <w:r w:rsidR="00EA52C2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and hospitals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These </w:t>
      </w:r>
      <w:r w:rsidR="00CD359D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facilities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gather, store, oversee, and send patients' electronic clinical records. </w:t>
      </w:r>
    </w:p>
    <w:p w:rsidR="00524420" w:rsidRPr="00521EB9" w:rsidRDefault="00EA52C2" w:rsidP="00521EB9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Digital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health systems improve patient treatment by having the most current patient information accessible. Patient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information is profoundly sensitive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so any health information system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used 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should guarantee the 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accuracy</w:t>
      </w:r>
      <w:r w:rsidR="001E3523"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information c</w:t>
      </w:r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ollected and patient confidentiality. </w:t>
      </w:r>
    </w:p>
    <w:p w:rsidR="007D1901" w:rsidRPr="00521EB9" w:rsidRDefault="007D1901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3B4D" w:rsidRPr="00521EB9" w:rsidRDefault="00543B4D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EB9" w:rsidRPr="00521EB9" w:rsidRDefault="00521EB9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EB9" w:rsidRPr="00521EB9" w:rsidRDefault="00521EB9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EB9" w:rsidRPr="00521EB9" w:rsidRDefault="00521EB9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EB9" w:rsidRPr="00521EB9" w:rsidRDefault="00521EB9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EB9" w:rsidRPr="00521EB9" w:rsidRDefault="00521EB9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EB9" w:rsidRPr="00521EB9" w:rsidRDefault="00521EB9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EB9" w:rsidRPr="00521EB9" w:rsidRDefault="00521EB9" w:rsidP="00521EB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901" w:rsidRPr="00521EB9" w:rsidRDefault="007D1901" w:rsidP="00521EB9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5" w:name="_Toc70444882"/>
      <w:r w:rsidRPr="00521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References</w:t>
      </w:r>
      <w:bookmarkEnd w:id="15"/>
    </w:p>
    <w:p w:rsidR="00543B4D" w:rsidRPr="00521EB9" w:rsidRDefault="00543B4D" w:rsidP="00521EB9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B &amp; S. (2017).</w:t>
      </w:r>
      <w:proofErr w:type="gramEnd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Why the Use of Information Systems in Healthcare is Important. </w:t>
      </w:r>
      <w:proofErr w:type="gramStart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Bryant &amp; Stratton College.</w:t>
      </w:r>
      <w:proofErr w:type="gramEnd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Retrieved from: https://www.bryantstratton.edu/continuing-education/healthcare/resources/information-systems </w:t>
      </w:r>
    </w:p>
    <w:p w:rsidR="00543B4D" w:rsidRPr="00521EB9" w:rsidRDefault="00543B4D" w:rsidP="00521EB9">
      <w:pPr>
        <w:spacing w:line="480" w:lineRule="auto"/>
        <w:ind w:left="567" w:hanging="567"/>
        <w:rPr>
          <w:rStyle w:val="bkciteavail"/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NCBI.</w:t>
      </w:r>
      <w:proofErr w:type="gramEnd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(2005). National Academy of Engineering (US) and Institute of Medicine (US) Committee on Engineering and the Health Care System; Reid PP, Compton WD, Grossman JH, et al., editors. </w:t>
      </w:r>
      <w:proofErr w:type="gramStart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Building a Better Delivery System: A New Engineering/Health Care Partnership.</w:t>
      </w:r>
      <w:proofErr w:type="gramEnd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Washington (DC): National Academies Press (US). Information and Communications Systems: The Backbone of the Health Care Delivery System.</w:t>
      </w:r>
      <w:r w:rsidRPr="00521EB9">
        <w:rPr>
          <w:rStyle w:val="bkciteavail"/>
          <w:rFonts w:ascii="Times New Roman" w:hAnsi="Times New Roman" w:cs="Times New Roman"/>
          <w:color w:val="000000" w:themeColor="text1"/>
          <w:sz w:val="24"/>
          <w:szCs w:val="24"/>
        </w:rPr>
        <w:t xml:space="preserve"> Retrieved from: https://www.ncbi.nlm.nih.gov/books/NBK22862/ </w:t>
      </w:r>
    </w:p>
    <w:p w:rsidR="00543B4D" w:rsidRPr="00521EB9" w:rsidRDefault="00543B4D" w:rsidP="00521EB9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Scott-Clark.</w:t>
      </w:r>
      <w:proofErr w:type="gramEnd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>(2018). Types of Information Systems Used in Healthcare Facilities.</w:t>
      </w:r>
      <w:proofErr w:type="gramEnd"/>
      <w:r w:rsidRPr="00521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Scott-Clark Medical. Retrieved from: https://www.scott-clark.com/blog/types-of-information-systems-used-in-healthcare-facilities/ </w:t>
      </w:r>
    </w:p>
    <w:p w:rsidR="00543B4D" w:rsidRPr="00521EB9" w:rsidRDefault="00543B4D" w:rsidP="00521EB9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21EB9">
        <w:rPr>
          <w:rStyle w:val="bkciteavail"/>
          <w:rFonts w:ascii="Times New Roman" w:hAnsi="Times New Roman" w:cs="Times New Roman"/>
          <w:color w:val="000000" w:themeColor="text1"/>
          <w:sz w:val="24"/>
          <w:szCs w:val="24"/>
        </w:rPr>
        <w:t>WHO.</w:t>
      </w:r>
      <w:proofErr w:type="gramEnd"/>
      <w:r w:rsidRPr="00521EB9">
        <w:rPr>
          <w:rStyle w:val="bkciteavai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21EB9">
        <w:rPr>
          <w:rStyle w:val="bkciteavail"/>
          <w:rFonts w:ascii="Times New Roman" w:hAnsi="Times New Roman" w:cs="Times New Roman"/>
          <w:color w:val="000000" w:themeColor="text1"/>
          <w:sz w:val="24"/>
          <w:szCs w:val="24"/>
        </w:rPr>
        <w:t>(2008). Health Information Systems.</w:t>
      </w:r>
      <w:proofErr w:type="gramEnd"/>
      <w:r w:rsidRPr="00521EB9">
        <w:rPr>
          <w:rStyle w:val="bkciteavai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21EB9">
        <w:rPr>
          <w:rStyle w:val="bkciteavail"/>
          <w:rFonts w:ascii="Times New Roman" w:hAnsi="Times New Roman" w:cs="Times New Roman"/>
          <w:color w:val="000000" w:themeColor="text1"/>
          <w:sz w:val="24"/>
          <w:szCs w:val="24"/>
        </w:rPr>
        <w:t>World Health Organization.</w:t>
      </w:r>
      <w:proofErr w:type="gramEnd"/>
      <w:r w:rsidRPr="00521EB9">
        <w:rPr>
          <w:rStyle w:val="bkciteavail"/>
          <w:rFonts w:ascii="Times New Roman" w:hAnsi="Times New Roman" w:cs="Times New Roman"/>
          <w:color w:val="000000" w:themeColor="text1"/>
          <w:sz w:val="24"/>
          <w:szCs w:val="24"/>
        </w:rPr>
        <w:t xml:space="preserve"> Retrieved from: https://www.who.int/healthinfo/statistics/toolkit_hss/EN_PDF_Toolkit_HSS_InformationSystems.pdf </w:t>
      </w:r>
    </w:p>
    <w:sectPr w:rsidR="00543B4D" w:rsidRPr="00521EB9" w:rsidSect="00521EB9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5A" w:rsidRDefault="003E495A" w:rsidP="003B22BA">
      <w:pPr>
        <w:spacing w:after="0" w:line="240" w:lineRule="auto"/>
      </w:pPr>
      <w:r>
        <w:separator/>
      </w:r>
    </w:p>
  </w:endnote>
  <w:endnote w:type="continuationSeparator" w:id="0">
    <w:p w:rsidR="003E495A" w:rsidRDefault="003E495A" w:rsidP="003B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5A" w:rsidRDefault="003E495A" w:rsidP="003B22BA">
      <w:pPr>
        <w:spacing w:after="0" w:line="240" w:lineRule="auto"/>
      </w:pPr>
      <w:r>
        <w:separator/>
      </w:r>
    </w:p>
  </w:footnote>
  <w:footnote w:type="continuationSeparator" w:id="0">
    <w:p w:rsidR="003E495A" w:rsidRDefault="003E495A" w:rsidP="003B2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EB9" w:rsidRDefault="00521EB9" w:rsidP="00521EB9">
    <w:pPr>
      <w:pStyle w:val="Header"/>
    </w:pPr>
    <w:r>
      <w:t>RUNNING HEAD: Health Information Systems</w:t>
    </w:r>
  </w:p>
  <w:p w:rsidR="003B22BA" w:rsidRDefault="003B2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23"/>
    <w:rsid w:val="001E3523"/>
    <w:rsid w:val="003B22BA"/>
    <w:rsid w:val="003E495A"/>
    <w:rsid w:val="00521EB9"/>
    <w:rsid w:val="00524420"/>
    <w:rsid w:val="00543B4D"/>
    <w:rsid w:val="00690A1F"/>
    <w:rsid w:val="0074630A"/>
    <w:rsid w:val="007D1901"/>
    <w:rsid w:val="00CD359D"/>
    <w:rsid w:val="00E56351"/>
    <w:rsid w:val="00EA52C2"/>
    <w:rsid w:val="00EB3F54"/>
    <w:rsid w:val="00F01980"/>
    <w:rsid w:val="00F3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3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35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B2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2BA"/>
  </w:style>
  <w:style w:type="paragraph" w:styleId="Footer">
    <w:name w:val="footer"/>
    <w:basedOn w:val="Normal"/>
    <w:link w:val="FooterChar"/>
    <w:uiPriority w:val="99"/>
    <w:unhideWhenUsed/>
    <w:rsid w:val="003B2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2BA"/>
  </w:style>
  <w:style w:type="paragraph" w:styleId="BalloonText">
    <w:name w:val="Balloon Text"/>
    <w:basedOn w:val="Normal"/>
    <w:link w:val="BalloonTextChar"/>
    <w:uiPriority w:val="99"/>
    <w:semiHidden/>
    <w:unhideWhenUsed/>
    <w:rsid w:val="003B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BA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1901"/>
    <w:pPr>
      <w:spacing w:before="480" w:line="276" w:lineRule="auto"/>
      <w:outlineLvl w:val="9"/>
    </w:pPr>
    <w:rPr>
      <w:b/>
      <w:bCs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D190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190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D1901"/>
    <w:rPr>
      <w:color w:val="0563C1" w:themeColor="hyperlink"/>
      <w:u w:val="single"/>
    </w:rPr>
  </w:style>
  <w:style w:type="character" w:customStyle="1" w:styleId="bkciteavail">
    <w:name w:val="bk_cite_avail"/>
    <w:basedOn w:val="DefaultParagraphFont"/>
    <w:rsid w:val="00543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3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35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B2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2BA"/>
  </w:style>
  <w:style w:type="paragraph" w:styleId="Footer">
    <w:name w:val="footer"/>
    <w:basedOn w:val="Normal"/>
    <w:link w:val="FooterChar"/>
    <w:uiPriority w:val="99"/>
    <w:unhideWhenUsed/>
    <w:rsid w:val="003B2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2BA"/>
  </w:style>
  <w:style w:type="paragraph" w:styleId="BalloonText">
    <w:name w:val="Balloon Text"/>
    <w:basedOn w:val="Normal"/>
    <w:link w:val="BalloonTextChar"/>
    <w:uiPriority w:val="99"/>
    <w:semiHidden/>
    <w:unhideWhenUsed/>
    <w:rsid w:val="003B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BA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1901"/>
    <w:pPr>
      <w:spacing w:before="480" w:line="276" w:lineRule="auto"/>
      <w:outlineLvl w:val="9"/>
    </w:pPr>
    <w:rPr>
      <w:b/>
      <w:bCs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D190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190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D1901"/>
    <w:rPr>
      <w:color w:val="0563C1" w:themeColor="hyperlink"/>
      <w:u w:val="single"/>
    </w:rPr>
  </w:style>
  <w:style w:type="character" w:customStyle="1" w:styleId="bkciteavail">
    <w:name w:val="bk_cite_avail"/>
    <w:basedOn w:val="DefaultParagraphFont"/>
    <w:rsid w:val="00543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51"/>
    <w:rsid w:val="00360581"/>
    <w:rsid w:val="007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C19A7B64244C5ABE95C0B150EE36F0">
    <w:name w:val="F3C19A7B64244C5ABE95C0B150EE36F0"/>
    <w:rsid w:val="007F59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C19A7B64244C5ABE95C0B150EE36F0">
    <w:name w:val="F3C19A7B64244C5ABE95C0B150EE36F0"/>
    <w:rsid w:val="007F5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BD5B5C-028F-4332-BEB0-4CAEE1B5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FNP</dc:creator>
  <cp:lastModifiedBy>User</cp:lastModifiedBy>
  <cp:revision>4</cp:revision>
  <dcterms:created xsi:type="dcterms:W3CDTF">2021-04-27T16:11:00Z</dcterms:created>
  <dcterms:modified xsi:type="dcterms:W3CDTF">2021-04-27T16:42:00Z</dcterms:modified>
</cp:coreProperties>
</file>