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1D7" w:rsidRDefault="005621D7" w:rsidP="00AE551C">
      <w:pPr>
        <w:spacing w:after="0" w:line="480" w:lineRule="auto"/>
        <w:contextualSpacing/>
        <w:jc w:val="center"/>
        <w:rPr>
          <w:rFonts w:ascii="Times New Roman" w:hAnsi="Times New Roman" w:cs="Times New Roman"/>
          <w:sz w:val="24"/>
          <w:szCs w:val="24"/>
        </w:rPr>
      </w:pPr>
      <w:bookmarkStart w:id="0" w:name="_GoBack"/>
    </w:p>
    <w:p w:rsidR="005621D7" w:rsidRDefault="005621D7" w:rsidP="00AE551C">
      <w:pPr>
        <w:spacing w:after="0" w:line="480" w:lineRule="auto"/>
        <w:contextualSpacing/>
        <w:jc w:val="center"/>
        <w:rPr>
          <w:rFonts w:ascii="Times New Roman" w:hAnsi="Times New Roman" w:cs="Times New Roman"/>
          <w:sz w:val="24"/>
          <w:szCs w:val="24"/>
        </w:rPr>
      </w:pPr>
    </w:p>
    <w:p w:rsidR="005621D7" w:rsidRDefault="005621D7" w:rsidP="00AE551C">
      <w:pPr>
        <w:spacing w:after="0" w:line="480" w:lineRule="auto"/>
        <w:contextualSpacing/>
        <w:jc w:val="center"/>
        <w:rPr>
          <w:rFonts w:ascii="Times New Roman" w:hAnsi="Times New Roman" w:cs="Times New Roman"/>
          <w:sz w:val="24"/>
          <w:szCs w:val="24"/>
        </w:rPr>
      </w:pPr>
    </w:p>
    <w:p w:rsidR="005621D7" w:rsidRDefault="005621D7" w:rsidP="00AE551C">
      <w:pPr>
        <w:spacing w:after="0" w:line="480" w:lineRule="auto"/>
        <w:contextualSpacing/>
        <w:jc w:val="center"/>
        <w:rPr>
          <w:rFonts w:ascii="Times New Roman" w:hAnsi="Times New Roman" w:cs="Times New Roman"/>
          <w:sz w:val="24"/>
          <w:szCs w:val="24"/>
        </w:rPr>
      </w:pPr>
    </w:p>
    <w:p w:rsidR="005621D7" w:rsidRDefault="005621D7" w:rsidP="00AE551C">
      <w:pPr>
        <w:spacing w:after="0" w:line="480" w:lineRule="auto"/>
        <w:contextualSpacing/>
        <w:jc w:val="center"/>
        <w:rPr>
          <w:rFonts w:ascii="Times New Roman" w:hAnsi="Times New Roman" w:cs="Times New Roman"/>
          <w:sz w:val="24"/>
          <w:szCs w:val="24"/>
        </w:rPr>
      </w:pPr>
    </w:p>
    <w:p w:rsidR="005621D7" w:rsidRDefault="005621D7" w:rsidP="00AE551C">
      <w:pPr>
        <w:spacing w:after="0" w:line="480" w:lineRule="auto"/>
        <w:contextualSpacing/>
        <w:jc w:val="center"/>
        <w:rPr>
          <w:rFonts w:ascii="Times New Roman" w:hAnsi="Times New Roman" w:cs="Times New Roman"/>
          <w:sz w:val="24"/>
          <w:szCs w:val="24"/>
        </w:rPr>
      </w:pPr>
    </w:p>
    <w:p w:rsidR="003F7771" w:rsidRDefault="003F7771" w:rsidP="00AE551C">
      <w:pPr>
        <w:spacing w:after="0" w:line="480" w:lineRule="auto"/>
        <w:contextualSpacing/>
        <w:jc w:val="center"/>
        <w:rPr>
          <w:rFonts w:ascii="Times New Roman" w:hAnsi="Times New Roman" w:cs="Times New Roman"/>
          <w:sz w:val="24"/>
          <w:szCs w:val="24"/>
        </w:rPr>
      </w:pPr>
    </w:p>
    <w:p w:rsidR="003F7771" w:rsidRDefault="003F7771" w:rsidP="00AE551C">
      <w:pPr>
        <w:spacing w:after="0" w:line="480" w:lineRule="auto"/>
        <w:contextualSpacing/>
        <w:jc w:val="center"/>
        <w:rPr>
          <w:rFonts w:ascii="Times New Roman" w:hAnsi="Times New Roman" w:cs="Times New Roman"/>
          <w:sz w:val="24"/>
          <w:szCs w:val="24"/>
        </w:rPr>
      </w:pPr>
    </w:p>
    <w:p w:rsidR="003F7771" w:rsidRDefault="003F7771" w:rsidP="00AE551C">
      <w:pPr>
        <w:spacing w:after="0" w:line="480" w:lineRule="auto"/>
        <w:contextualSpacing/>
        <w:jc w:val="center"/>
        <w:rPr>
          <w:rFonts w:ascii="Times New Roman" w:hAnsi="Times New Roman" w:cs="Times New Roman"/>
          <w:sz w:val="24"/>
          <w:szCs w:val="24"/>
        </w:rPr>
      </w:pPr>
    </w:p>
    <w:p w:rsidR="005621D7" w:rsidRDefault="005621D7" w:rsidP="00AE551C">
      <w:pPr>
        <w:spacing w:after="0" w:line="480" w:lineRule="auto"/>
        <w:contextualSpacing/>
        <w:jc w:val="center"/>
        <w:rPr>
          <w:rFonts w:ascii="Times New Roman" w:hAnsi="Times New Roman" w:cs="Times New Roman"/>
          <w:sz w:val="24"/>
          <w:szCs w:val="24"/>
        </w:rPr>
      </w:pPr>
      <w:r w:rsidRPr="00710756">
        <w:rPr>
          <w:rFonts w:ascii="Times New Roman" w:hAnsi="Times New Roman" w:cs="Times New Roman"/>
          <w:sz w:val="24"/>
          <w:szCs w:val="24"/>
        </w:rPr>
        <w:t>Medical staff Organization and Malpractice</w:t>
      </w:r>
    </w:p>
    <w:p w:rsidR="005621D7" w:rsidRDefault="005621D7" w:rsidP="00AE55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621D7" w:rsidRDefault="005621D7" w:rsidP="00AE55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35010" w:rsidRDefault="00F35010" w:rsidP="00AE551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10756" w:rsidRDefault="00710756" w:rsidP="00AE551C">
      <w:pPr>
        <w:spacing w:after="0" w:line="480" w:lineRule="auto"/>
        <w:contextualSpacing/>
        <w:jc w:val="center"/>
        <w:rPr>
          <w:rFonts w:ascii="Times New Roman" w:hAnsi="Times New Roman" w:cs="Times New Roman"/>
          <w:sz w:val="24"/>
          <w:szCs w:val="24"/>
        </w:rPr>
      </w:pPr>
      <w:r w:rsidRPr="00710756">
        <w:rPr>
          <w:rFonts w:ascii="Times New Roman" w:hAnsi="Times New Roman" w:cs="Times New Roman"/>
          <w:sz w:val="24"/>
          <w:szCs w:val="24"/>
        </w:rPr>
        <w:lastRenderedPageBreak/>
        <w:t xml:space="preserve">Medical staff </w:t>
      </w:r>
      <w:r w:rsidR="00C4615F" w:rsidRPr="00710756">
        <w:rPr>
          <w:rFonts w:ascii="Times New Roman" w:hAnsi="Times New Roman" w:cs="Times New Roman"/>
          <w:sz w:val="24"/>
          <w:szCs w:val="24"/>
        </w:rPr>
        <w:t xml:space="preserve">Organization </w:t>
      </w:r>
      <w:r w:rsidRPr="00710756">
        <w:rPr>
          <w:rFonts w:ascii="Times New Roman" w:hAnsi="Times New Roman" w:cs="Times New Roman"/>
          <w:sz w:val="24"/>
          <w:szCs w:val="24"/>
        </w:rPr>
        <w:t xml:space="preserve">and </w:t>
      </w:r>
      <w:r w:rsidR="00C4615F" w:rsidRPr="00710756">
        <w:rPr>
          <w:rFonts w:ascii="Times New Roman" w:hAnsi="Times New Roman" w:cs="Times New Roman"/>
          <w:sz w:val="24"/>
          <w:szCs w:val="24"/>
        </w:rPr>
        <w:t>Malpractice</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The medical profession has long operated under a body of legal and ethical policies primarily formulated to protect patients. Therefore, as members of this profession, physicians must recognize their responsibility to patients and adhere to the guidelines that govern legal and ethical issues. However, the contemporary healthcare environment puts extreme pressure on them by being required to do more, and this often takes them at loggerhead with the set guidelines. They operate under limited resources, and this forces them to make tough choices on the quality of care. The safety of patients may become compromised, leading to injury and litigation. Adherence to the fundamental ethical principles in medicine i.e., respect for autonomy, justice, beneficence, and maleficence, would help physicians remain on the safe side of the legal and ethical facets of medical practice. The legal structure of physician practice is also guided by committees of bylaws, regulations, and credentialing processes that facilitate continuous improvement in the quality of patient care.</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Legal issues in physician practice stretch back to over 200 years when patient care began to be regulated. Cases of medical negligence became common in court proceedings. In 1767, the case of Slater v. Baker and Stapleton demonstrated the developing issues in the legal aspect of physician practice. The jury ruled in favor of the patient, who, without informed consent, was subjected to a failed experimental treatment to repair a fracture. Over the years, the legal guidelines have authenticated physicians to practice defensive medicine with the fear of malpractice litigation (Chesnokova, 2016). Hiring committees have to screen physicians’ credentials properly to avoid being liable for any future errors done by them.  A patient named Johnson sued Misericordia Community hospital for malpractice done by one of its physicians when doing an operation to remove a pin fragment from his hip. It emerged that the hospital was negligent in failing to scrutinize the doctor’s credentials before approving his orthopedic practice (Pozgar, 2018). Therefore physicians need to adhere to all legal guidelines, especially during the hiring process. They ought to practice only in the domain where they are authorized.</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Physicians must practice with the scope of their expertise. Operating outside their competence invite errors and subsequent litigation. Typically, every physician will be involved in a medical error at some point in their career and would face the prospect of a lawsuit. These cases could cause significant stress and impact on their ability to provide care to patients Rappaport and Selbst, 2019). Sticking to one’s expertise may reduce the prospect of medical errors and hence save them from litigation stress. The implications of operating outside the scope of training became apparent in a California case, Carrasco v. Bankoff. A boy, who had suffered third-degree burns in over 18 percent of his body was admitted to a hospital and stayed there for 53 days without any medical attention apart from the occasional dressing of the wounds.</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Consequently, the patient suffered muscular-skeletal dysfunction and hyper granulation, and the surgeon who operated on him had no training in the management of burn cases and was not a certified plastic surgeon. The court indicated professional negligence in the physician’s failure to uphold the accepted standard of care and was, therefore, responsible for the patient’s injury (Pozgar, 2018). Physicians are encouraged to improve their skills through training on emerging evidence-based interventions continuously. They must limit their practice to their scope to avoid the legal implications of medical malpractice.</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The ethical code of medical practice gives a right to patients in knowing details about their health condition as well as choosing between the available treatment options. Physicians are mandated to provide sufficient and understandable information to help patients make medically sound decisions. Ethical issues arise when the physician and the patient have differing opinions regarding the appropriate intervention mechanism. If they fail to agree on the matter, a judge may need to resolve it. Physicians must maintain appropriate boundaries when advising vulnerable patients. For instance, successful recovery from an illness may have a patient expressing deep feelings of gratitude that the physician could mistake them for physical attraction. Sexual exploitation statutes and professional medical ethics forbid physicians from inappropriate involvement with patients. Empathy, trust, and genuine concern ought to rule all the interactions, and legal intervention comes into play when mutual respect is not exhibited, or boundaries are ignored.</w:t>
      </w:r>
    </w:p>
    <w:p w:rsidR="00B621EF" w:rsidRPr="00B621EF"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Physicians have to strike a balance between efficiency and quality of care. They sign an oath not to subject any harm to their patients. However, it is a challenge for them to uphold this oath as pressure from managed care organizations, insurance companies, and hospital administrations limits the choices of the treatments and prescriptions they could offer to their patients. For instance, the physician may want to do follow-up checks on a child, but the parents refuse because of limited insurance cover. As a result, litigation of malpractice becomes more likely to occur, especially if a patient claims misdiagnosis by a hurried physician (Dowd, 2018). Regardless, medical providers have to remain on the right side of the law to avoid litigation stress. First Timothy 1:8 indicates that “but we know that the Law is good if one uses it lawfully” (Bonhoeffer, 2018). Therefore, they have to find a way to balance between the tight healthcare budgets and maintaining the quality of care.</w:t>
      </w:r>
    </w:p>
    <w:p w:rsidR="00680535" w:rsidRDefault="00B621EF" w:rsidP="00AE551C">
      <w:pPr>
        <w:spacing w:after="0" w:line="480" w:lineRule="auto"/>
        <w:ind w:firstLine="720"/>
        <w:contextualSpacing/>
        <w:rPr>
          <w:rFonts w:ascii="Times New Roman" w:hAnsi="Times New Roman" w:cs="Times New Roman"/>
          <w:sz w:val="24"/>
          <w:szCs w:val="24"/>
        </w:rPr>
      </w:pPr>
      <w:r w:rsidRPr="00B621EF">
        <w:rPr>
          <w:rFonts w:ascii="Times New Roman" w:hAnsi="Times New Roman" w:cs="Times New Roman"/>
          <w:sz w:val="24"/>
          <w:szCs w:val="24"/>
        </w:rPr>
        <w:t>The ability to work with others is essential for physicians to provide quality patient care. Healthcare organizations have to consider this before granting medical staff privileges. In the case of Ladenheim v. Union County Hospital District, the jury ruled that the physician’s inability to work with other medical staff was sufficient ground to deny him staff privileges. The record of the physician in question displayed his inability to work harmoniously with other medical staff. Working effectively with others is logically linked to the promotion of patient welfare. Physicians have to adhere to several guidelines from both a legal and ethical perspective. A successful career in this profession necessitates an exceptional understanding of the rules and regulations that are aimed at promoting patient care.</w:t>
      </w:r>
      <w:r w:rsidR="00680535">
        <w:rPr>
          <w:rFonts w:ascii="Times New Roman" w:hAnsi="Times New Roman" w:cs="Times New Roman"/>
          <w:sz w:val="24"/>
          <w:szCs w:val="24"/>
        </w:rPr>
        <w:br w:type="page"/>
      </w:r>
    </w:p>
    <w:p w:rsidR="00710756" w:rsidRDefault="00710756" w:rsidP="00AE551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680535" w:rsidRPr="00680535" w:rsidRDefault="00680535" w:rsidP="00AE551C">
      <w:pPr>
        <w:spacing w:after="0" w:line="480" w:lineRule="auto"/>
        <w:ind w:left="720" w:hanging="720"/>
        <w:contextualSpacing/>
        <w:rPr>
          <w:rFonts w:ascii="Times New Roman" w:eastAsia="Times New Roman" w:hAnsi="Times New Roman" w:cs="Times New Roman"/>
          <w:sz w:val="24"/>
          <w:szCs w:val="24"/>
        </w:rPr>
      </w:pPr>
      <w:r w:rsidRPr="00680535">
        <w:rPr>
          <w:rFonts w:ascii="Times New Roman" w:eastAsia="Times New Roman" w:hAnsi="Times New Roman" w:cs="Times New Roman"/>
          <w:sz w:val="24"/>
          <w:szCs w:val="24"/>
        </w:rPr>
        <w:t xml:space="preserve">Bonhoeffer, D. (2018). 1–2 Timothy and Titus. </w:t>
      </w:r>
      <w:r w:rsidRPr="00680535">
        <w:rPr>
          <w:rFonts w:ascii="Times New Roman" w:eastAsia="Times New Roman" w:hAnsi="Times New Roman" w:cs="Times New Roman"/>
          <w:i/>
          <w:iCs/>
          <w:sz w:val="24"/>
          <w:szCs w:val="24"/>
        </w:rPr>
        <w:t>Toward Decentering the New Testament: A Reintroduction</w:t>
      </w:r>
      <w:r w:rsidRPr="00680535">
        <w:rPr>
          <w:rFonts w:ascii="Times New Roman" w:eastAsia="Times New Roman" w:hAnsi="Times New Roman" w:cs="Times New Roman"/>
          <w:sz w:val="24"/>
          <w:szCs w:val="24"/>
        </w:rPr>
        <w:t>, 285.</w:t>
      </w:r>
    </w:p>
    <w:p w:rsidR="00ED30CC" w:rsidRPr="00ED30CC" w:rsidRDefault="00ED30CC" w:rsidP="00AE551C">
      <w:pPr>
        <w:spacing w:after="0" w:line="480" w:lineRule="auto"/>
        <w:ind w:left="720" w:hanging="720"/>
        <w:contextualSpacing/>
        <w:rPr>
          <w:rFonts w:ascii="Times New Roman" w:eastAsia="Times New Roman" w:hAnsi="Times New Roman" w:cs="Times New Roman"/>
          <w:sz w:val="24"/>
          <w:szCs w:val="24"/>
        </w:rPr>
      </w:pPr>
      <w:r w:rsidRPr="00ED30CC">
        <w:rPr>
          <w:rFonts w:ascii="Times New Roman" w:eastAsia="Times New Roman" w:hAnsi="Times New Roman" w:cs="Times New Roman"/>
          <w:sz w:val="24"/>
          <w:szCs w:val="24"/>
        </w:rPr>
        <w:t xml:space="preserve">Chesnokova, A. E. (2016). Health Law and Medical Practice. </w:t>
      </w:r>
      <w:r w:rsidRPr="00ED30CC">
        <w:rPr>
          <w:rFonts w:ascii="Times New Roman" w:eastAsia="Times New Roman" w:hAnsi="Times New Roman" w:cs="Times New Roman"/>
          <w:i/>
          <w:iCs/>
          <w:sz w:val="24"/>
          <w:szCs w:val="24"/>
        </w:rPr>
        <w:t>AMA journal of ethics</w:t>
      </w:r>
      <w:r w:rsidRPr="00ED30CC">
        <w:rPr>
          <w:rFonts w:ascii="Times New Roman" w:eastAsia="Times New Roman" w:hAnsi="Times New Roman" w:cs="Times New Roman"/>
          <w:sz w:val="24"/>
          <w:szCs w:val="24"/>
        </w:rPr>
        <w:t xml:space="preserve">, </w:t>
      </w:r>
      <w:r w:rsidRPr="00ED30CC">
        <w:rPr>
          <w:rFonts w:ascii="Times New Roman" w:eastAsia="Times New Roman" w:hAnsi="Times New Roman" w:cs="Times New Roman"/>
          <w:i/>
          <w:iCs/>
          <w:sz w:val="24"/>
          <w:szCs w:val="24"/>
        </w:rPr>
        <w:t>18</w:t>
      </w:r>
      <w:r w:rsidRPr="00ED30CC">
        <w:rPr>
          <w:rFonts w:ascii="Times New Roman" w:eastAsia="Times New Roman" w:hAnsi="Times New Roman" w:cs="Times New Roman"/>
          <w:sz w:val="24"/>
          <w:szCs w:val="24"/>
        </w:rPr>
        <w:t>(3), 197-200.</w:t>
      </w:r>
    </w:p>
    <w:p w:rsidR="00DA148A" w:rsidRDefault="00DA148A" w:rsidP="00AE551C">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Dowd, M. (2018, July 01). </w:t>
      </w:r>
      <w:r w:rsidRPr="00DA148A">
        <w:rPr>
          <w:rFonts w:ascii="Times New Roman" w:eastAsia="Times New Roman" w:hAnsi="Times New Roman" w:cs="Times New Roman"/>
          <w:sz w:val="24"/>
          <w:szCs w:val="24"/>
        </w:rPr>
        <w:t>Legal &amp; Ethical Issues that Health Care Professionals Face</w:t>
      </w:r>
      <w:r>
        <w:rPr>
          <w:rFonts w:ascii="Times New Roman" w:eastAsia="Times New Roman" w:hAnsi="Times New Roman" w:cs="Times New Roman"/>
          <w:sz w:val="24"/>
          <w:szCs w:val="24"/>
        </w:rPr>
        <w:t xml:space="preserve">. Chron. Retrieved from </w:t>
      </w:r>
      <w:r w:rsidRPr="00DA148A">
        <w:rPr>
          <w:rFonts w:ascii="Times New Roman" w:eastAsia="Times New Roman" w:hAnsi="Times New Roman" w:cs="Times New Roman"/>
          <w:sz w:val="24"/>
          <w:szCs w:val="24"/>
        </w:rPr>
        <w:t>https://work.chron.com/legal-ethical-issues-health-care-professionals-face-5648.html</w:t>
      </w:r>
    </w:p>
    <w:p w:rsidR="00710756" w:rsidRDefault="00710756" w:rsidP="00AE551C">
      <w:pPr>
        <w:spacing w:after="0" w:line="480" w:lineRule="auto"/>
        <w:ind w:left="720" w:hanging="720"/>
        <w:contextualSpacing/>
        <w:rPr>
          <w:rFonts w:ascii="Times New Roman" w:eastAsia="Times New Roman" w:hAnsi="Times New Roman" w:cs="Times New Roman"/>
          <w:sz w:val="24"/>
          <w:szCs w:val="24"/>
        </w:rPr>
      </w:pPr>
      <w:r w:rsidRPr="00710756">
        <w:rPr>
          <w:rFonts w:ascii="Times New Roman" w:eastAsia="Times New Roman" w:hAnsi="Times New Roman" w:cs="Times New Roman"/>
          <w:sz w:val="24"/>
          <w:szCs w:val="24"/>
        </w:rPr>
        <w:t xml:space="preserve">Pozgar, G. D. (2018). </w:t>
      </w:r>
      <w:r w:rsidRPr="00710756">
        <w:rPr>
          <w:rFonts w:ascii="Times New Roman" w:eastAsia="Times New Roman" w:hAnsi="Times New Roman" w:cs="Times New Roman"/>
          <w:i/>
          <w:iCs/>
          <w:sz w:val="24"/>
          <w:szCs w:val="24"/>
        </w:rPr>
        <w:t>Legal aspects of health care administration</w:t>
      </w:r>
      <w:r w:rsidRPr="00710756">
        <w:rPr>
          <w:rFonts w:ascii="Times New Roman" w:eastAsia="Times New Roman" w:hAnsi="Times New Roman" w:cs="Times New Roman"/>
          <w:sz w:val="24"/>
          <w:szCs w:val="24"/>
        </w:rPr>
        <w:t>. Jones &amp; Bartlett Learning.</w:t>
      </w:r>
    </w:p>
    <w:p w:rsidR="00146CD4" w:rsidRPr="00146CD4" w:rsidRDefault="00146CD4" w:rsidP="00AE551C">
      <w:pPr>
        <w:spacing w:after="0" w:line="480" w:lineRule="auto"/>
        <w:ind w:left="720" w:hanging="720"/>
        <w:contextualSpacing/>
        <w:rPr>
          <w:rFonts w:ascii="Times New Roman" w:eastAsia="Times New Roman" w:hAnsi="Times New Roman" w:cs="Times New Roman"/>
          <w:sz w:val="24"/>
          <w:szCs w:val="24"/>
        </w:rPr>
      </w:pPr>
      <w:r w:rsidRPr="00146CD4">
        <w:rPr>
          <w:rFonts w:ascii="Times New Roman" w:eastAsia="Times New Roman" w:hAnsi="Times New Roman" w:cs="Times New Roman"/>
          <w:sz w:val="24"/>
          <w:szCs w:val="24"/>
        </w:rPr>
        <w:t xml:space="preserve">Rappaport, D. I., &amp; Selbst, S. M. (2019). Medical Errors and Malpractice Lawsuits: Impact on Providers—Part 2 of 6. </w:t>
      </w:r>
      <w:r w:rsidRPr="00146CD4">
        <w:rPr>
          <w:rFonts w:ascii="Times New Roman" w:eastAsia="Times New Roman" w:hAnsi="Times New Roman" w:cs="Times New Roman"/>
          <w:i/>
          <w:iCs/>
          <w:sz w:val="24"/>
          <w:szCs w:val="24"/>
        </w:rPr>
        <w:t>Pediatric emergency care</w:t>
      </w:r>
      <w:r w:rsidRPr="00146CD4">
        <w:rPr>
          <w:rFonts w:ascii="Times New Roman" w:eastAsia="Times New Roman" w:hAnsi="Times New Roman" w:cs="Times New Roman"/>
          <w:sz w:val="24"/>
          <w:szCs w:val="24"/>
        </w:rPr>
        <w:t xml:space="preserve">, </w:t>
      </w:r>
      <w:r w:rsidRPr="00146CD4">
        <w:rPr>
          <w:rFonts w:ascii="Times New Roman" w:eastAsia="Times New Roman" w:hAnsi="Times New Roman" w:cs="Times New Roman"/>
          <w:i/>
          <w:iCs/>
          <w:sz w:val="24"/>
          <w:szCs w:val="24"/>
        </w:rPr>
        <w:t>35</w:t>
      </w:r>
      <w:r w:rsidRPr="00146CD4">
        <w:rPr>
          <w:rFonts w:ascii="Times New Roman" w:eastAsia="Times New Roman" w:hAnsi="Times New Roman" w:cs="Times New Roman"/>
          <w:sz w:val="24"/>
          <w:szCs w:val="24"/>
        </w:rPr>
        <w:t>(6), 440-442.</w:t>
      </w:r>
    </w:p>
    <w:p w:rsidR="00146CD4" w:rsidRPr="00710756" w:rsidRDefault="00146CD4" w:rsidP="00AE551C">
      <w:pPr>
        <w:spacing w:after="0" w:line="480" w:lineRule="auto"/>
        <w:contextualSpacing/>
        <w:rPr>
          <w:rFonts w:ascii="Times New Roman" w:eastAsia="Times New Roman" w:hAnsi="Times New Roman" w:cs="Times New Roman"/>
          <w:sz w:val="24"/>
          <w:szCs w:val="24"/>
        </w:rPr>
      </w:pPr>
    </w:p>
    <w:bookmarkEnd w:id="0"/>
    <w:p w:rsidR="00710756" w:rsidRDefault="00710756" w:rsidP="00AE551C">
      <w:pPr>
        <w:spacing w:after="0" w:line="480" w:lineRule="auto"/>
        <w:contextualSpacing/>
        <w:rPr>
          <w:rFonts w:ascii="Times New Roman" w:hAnsi="Times New Roman" w:cs="Times New Roman"/>
          <w:sz w:val="24"/>
          <w:szCs w:val="24"/>
        </w:rPr>
      </w:pPr>
    </w:p>
    <w:sectPr w:rsidR="00710756" w:rsidSect="00F350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13C" w:rsidRDefault="00C6013C" w:rsidP="00F35010">
      <w:pPr>
        <w:spacing w:after="0" w:line="240" w:lineRule="auto"/>
      </w:pPr>
      <w:r>
        <w:separator/>
      </w:r>
    </w:p>
  </w:endnote>
  <w:endnote w:type="continuationSeparator" w:id="0">
    <w:p w:rsidR="00C6013C" w:rsidRDefault="00C6013C" w:rsidP="00F3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13C" w:rsidRDefault="00C6013C" w:rsidP="00F35010">
      <w:pPr>
        <w:spacing w:after="0" w:line="240" w:lineRule="auto"/>
      </w:pPr>
      <w:r>
        <w:separator/>
      </w:r>
    </w:p>
  </w:footnote>
  <w:footnote w:type="continuationSeparator" w:id="0">
    <w:p w:rsidR="00C6013C" w:rsidRDefault="00C6013C" w:rsidP="00F35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643143"/>
      <w:docPartObj>
        <w:docPartGallery w:val="Page Numbers (Top of Page)"/>
        <w:docPartUnique/>
      </w:docPartObj>
    </w:sdtPr>
    <w:sdtEndPr>
      <w:rPr>
        <w:rFonts w:ascii="Times New Roman" w:hAnsi="Times New Roman" w:cs="Times New Roman"/>
        <w:noProof/>
        <w:sz w:val="24"/>
        <w:szCs w:val="24"/>
      </w:rPr>
    </w:sdtEndPr>
    <w:sdtContent>
      <w:p w:rsidR="00F35010" w:rsidRPr="00F35010" w:rsidRDefault="00F35010">
        <w:pPr>
          <w:pStyle w:val="Header"/>
          <w:jc w:val="right"/>
          <w:rPr>
            <w:rFonts w:ascii="Times New Roman" w:hAnsi="Times New Roman" w:cs="Times New Roman"/>
            <w:sz w:val="24"/>
            <w:szCs w:val="24"/>
          </w:rPr>
        </w:pPr>
        <w:r>
          <w:rPr>
            <w:rFonts w:ascii="Times New Roman" w:hAnsi="Times New Roman" w:cs="Times New Roman"/>
            <w:sz w:val="24"/>
            <w:szCs w:val="24"/>
          </w:rPr>
          <w:t>LEGAL AND ETHICAL ISSUES IN HEALTHCARE</w:t>
        </w:r>
        <w:r>
          <w:rPr>
            <w:rFonts w:ascii="Times New Roman" w:hAnsi="Times New Roman" w:cs="Times New Roman"/>
            <w:sz w:val="24"/>
            <w:szCs w:val="24"/>
          </w:rPr>
          <w:tab/>
        </w:r>
        <w:r w:rsidRPr="00F35010">
          <w:rPr>
            <w:rFonts w:ascii="Times New Roman" w:hAnsi="Times New Roman" w:cs="Times New Roman"/>
            <w:sz w:val="24"/>
            <w:szCs w:val="24"/>
          </w:rPr>
          <w:fldChar w:fldCharType="begin"/>
        </w:r>
        <w:r w:rsidRPr="00F35010">
          <w:rPr>
            <w:rFonts w:ascii="Times New Roman" w:hAnsi="Times New Roman" w:cs="Times New Roman"/>
            <w:sz w:val="24"/>
            <w:szCs w:val="24"/>
          </w:rPr>
          <w:instrText xml:space="preserve"> PAGE   \* MERGEFORMAT </w:instrText>
        </w:r>
        <w:r w:rsidRPr="00F35010">
          <w:rPr>
            <w:rFonts w:ascii="Times New Roman" w:hAnsi="Times New Roman" w:cs="Times New Roman"/>
            <w:sz w:val="24"/>
            <w:szCs w:val="24"/>
          </w:rPr>
          <w:fldChar w:fldCharType="separate"/>
        </w:r>
        <w:r w:rsidR="00AE551C">
          <w:rPr>
            <w:rFonts w:ascii="Times New Roman" w:hAnsi="Times New Roman" w:cs="Times New Roman"/>
            <w:noProof/>
            <w:sz w:val="24"/>
            <w:szCs w:val="24"/>
          </w:rPr>
          <w:t>2</w:t>
        </w:r>
        <w:r w:rsidRPr="00F35010">
          <w:rPr>
            <w:rFonts w:ascii="Times New Roman" w:hAnsi="Times New Roman" w:cs="Times New Roman"/>
            <w:noProof/>
            <w:sz w:val="24"/>
            <w:szCs w:val="24"/>
          </w:rPr>
          <w:fldChar w:fldCharType="end"/>
        </w:r>
      </w:p>
    </w:sdtContent>
  </w:sdt>
  <w:p w:rsidR="00F35010" w:rsidRDefault="00F35010" w:rsidP="00F35010">
    <w:pPr>
      <w:pStyle w:val="Header"/>
      <w:tabs>
        <w:tab w:val="clear" w:pos="4680"/>
        <w:tab w:val="clear" w:pos="9360"/>
        <w:tab w:val="left" w:pos="313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10" w:rsidRDefault="00F35010">
    <w:pPr>
      <w:pStyle w:val="Header"/>
    </w:pPr>
    <w:r>
      <w:rPr>
        <w:rFonts w:ascii="Times New Roman" w:hAnsi="Times New Roman" w:cs="Times New Roman"/>
        <w:sz w:val="24"/>
        <w:szCs w:val="24"/>
      </w:rPr>
      <w:t>Running head: LEGAL AND ETHICAL ISSUES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B93"/>
    <w:rsid w:val="000154D4"/>
    <w:rsid w:val="000340C6"/>
    <w:rsid w:val="000408CC"/>
    <w:rsid w:val="00084CB0"/>
    <w:rsid w:val="000A0299"/>
    <w:rsid w:val="00146CD4"/>
    <w:rsid w:val="00160F19"/>
    <w:rsid w:val="001B2BB0"/>
    <w:rsid w:val="001C0142"/>
    <w:rsid w:val="00267926"/>
    <w:rsid w:val="003F7771"/>
    <w:rsid w:val="00413E94"/>
    <w:rsid w:val="00430BDD"/>
    <w:rsid w:val="004470DF"/>
    <w:rsid w:val="00464932"/>
    <w:rsid w:val="004B7842"/>
    <w:rsid w:val="004D4D41"/>
    <w:rsid w:val="004F7702"/>
    <w:rsid w:val="005116CD"/>
    <w:rsid w:val="00527783"/>
    <w:rsid w:val="00550356"/>
    <w:rsid w:val="005621D7"/>
    <w:rsid w:val="005B5276"/>
    <w:rsid w:val="005D3B93"/>
    <w:rsid w:val="0060354F"/>
    <w:rsid w:val="0060561E"/>
    <w:rsid w:val="006142FA"/>
    <w:rsid w:val="00660499"/>
    <w:rsid w:val="00680535"/>
    <w:rsid w:val="006A7884"/>
    <w:rsid w:val="00710756"/>
    <w:rsid w:val="007131AE"/>
    <w:rsid w:val="00732BF7"/>
    <w:rsid w:val="007F2D53"/>
    <w:rsid w:val="008149BE"/>
    <w:rsid w:val="00830555"/>
    <w:rsid w:val="00861C8A"/>
    <w:rsid w:val="008F77E6"/>
    <w:rsid w:val="00900A19"/>
    <w:rsid w:val="00960265"/>
    <w:rsid w:val="009A6367"/>
    <w:rsid w:val="009C3230"/>
    <w:rsid w:val="009C5549"/>
    <w:rsid w:val="009C58D9"/>
    <w:rsid w:val="009F6D38"/>
    <w:rsid w:val="00A44F01"/>
    <w:rsid w:val="00A82FC8"/>
    <w:rsid w:val="00AA46CC"/>
    <w:rsid w:val="00AB22EA"/>
    <w:rsid w:val="00AB4761"/>
    <w:rsid w:val="00AE551C"/>
    <w:rsid w:val="00B3244C"/>
    <w:rsid w:val="00B47D4D"/>
    <w:rsid w:val="00B54D7E"/>
    <w:rsid w:val="00B5578C"/>
    <w:rsid w:val="00B621EF"/>
    <w:rsid w:val="00B803BA"/>
    <w:rsid w:val="00BA5CB3"/>
    <w:rsid w:val="00BB3C68"/>
    <w:rsid w:val="00BB6031"/>
    <w:rsid w:val="00BD2C9A"/>
    <w:rsid w:val="00BD3D50"/>
    <w:rsid w:val="00BF1244"/>
    <w:rsid w:val="00BF17A0"/>
    <w:rsid w:val="00C20759"/>
    <w:rsid w:val="00C37A4C"/>
    <w:rsid w:val="00C4615F"/>
    <w:rsid w:val="00C6013C"/>
    <w:rsid w:val="00C65A24"/>
    <w:rsid w:val="00CC4873"/>
    <w:rsid w:val="00D4069E"/>
    <w:rsid w:val="00D77383"/>
    <w:rsid w:val="00D8685B"/>
    <w:rsid w:val="00DA148A"/>
    <w:rsid w:val="00DA5FB1"/>
    <w:rsid w:val="00DD577B"/>
    <w:rsid w:val="00DF5E13"/>
    <w:rsid w:val="00E14C4F"/>
    <w:rsid w:val="00E3268B"/>
    <w:rsid w:val="00E70E7B"/>
    <w:rsid w:val="00E73630"/>
    <w:rsid w:val="00E81B55"/>
    <w:rsid w:val="00E91335"/>
    <w:rsid w:val="00ED30CC"/>
    <w:rsid w:val="00F07478"/>
    <w:rsid w:val="00F35010"/>
    <w:rsid w:val="00F64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A1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148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A14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30CC"/>
    <w:rPr>
      <w:color w:val="0000FF"/>
      <w:u w:val="single"/>
    </w:rPr>
  </w:style>
  <w:style w:type="character" w:customStyle="1" w:styleId="ej-keyword">
    <w:name w:val="ej-keyword"/>
    <w:basedOn w:val="DefaultParagraphFont"/>
    <w:rsid w:val="00146CD4"/>
  </w:style>
  <w:style w:type="paragraph" w:styleId="Header">
    <w:name w:val="header"/>
    <w:basedOn w:val="Normal"/>
    <w:link w:val="HeaderChar"/>
    <w:uiPriority w:val="99"/>
    <w:unhideWhenUsed/>
    <w:rsid w:val="00F35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010"/>
  </w:style>
  <w:style w:type="paragraph" w:styleId="Footer">
    <w:name w:val="footer"/>
    <w:basedOn w:val="Normal"/>
    <w:link w:val="FooterChar"/>
    <w:uiPriority w:val="99"/>
    <w:unhideWhenUsed/>
    <w:rsid w:val="00F35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0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A1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148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A14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30CC"/>
    <w:rPr>
      <w:color w:val="0000FF"/>
      <w:u w:val="single"/>
    </w:rPr>
  </w:style>
  <w:style w:type="character" w:customStyle="1" w:styleId="ej-keyword">
    <w:name w:val="ej-keyword"/>
    <w:basedOn w:val="DefaultParagraphFont"/>
    <w:rsid w:val="00146CD4"/>
  </w:style>
  <w:style w:type="paragraph" w:styleId="Header">
    <w:name w:val="header"/>
    <w:basedOn w:val="Normal"/>
    <w:link w:val="HeaderChar"/>
    <w:uiPriority w:val="99"/>
    <w:unhideWhenUsed/>
    <w:rsid w:val="00F35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010"/>
  </w:style>
  <w:style w:type="paragraph" w:styleId="Footer">
    <w:name w:val="footer"/>
    <w:basedOn w:val="Normal"/>
    <w:link w:val="FooterChar"/>
    <w:uiPriority w:val="99"/>
    <w:unhideWhenUsed/>
    <w:rsid w:val="00F35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9172">
      <w:bodyDiv w:val="1"/>
      <w:marLeft w:val="0"/>
      <w:marRight w:val="0"/>
      <w:marTop w:val="0"/>
      <w:marBottom w:val="0"/>
      <w:divBdr>
        <w:top w:val="none" w:sz="0" w:space="0" w:color="auto"/>
        <w:left w:val="none" w:sz="0" w:space="0" w:color="auto"/>
        <w:bottom w:val="none" w:sz="0" w:space="0" w:color="auto"/>
        <w:right w:val="none" w:sz="0" w:space="0" w:color="auto"/>
      </w:divBdr>
      <w:divsChild>
        <w:div w:id="7174820">
          <w:marLeft w:val="0"/>
          <w:marRight w:val="0"/>
          <w:marTop w:val="0"/>
          <w:marBottom w:val="0"/>
          <w:divBdr>
            <w:top w:val="none" w:sz="0" w:space="0" w:color="auto"/>
            <w:left w:val="none" w:sz="0" w:space="0" w:color="auto"/>
            <w:bottom w:val="none" w:sz="0" w:space="0" w:color="auto"/>
            <w:right w:val="none" w:sz="0" w:space="0" w:color="auto"/>
          </w:divBdr>
        </w:div>
      </w:divsChild>
    </w:div>
    <w:div w:id="278075219">
      <w:bodyDiv w:val="1"/>
      <w:marLeft w:val="0"/>
      <w:marRight w:val="0"/>
      <w:marTop w:val="0"/>
      <w:marBottom w:val="0"/>
      <w:divBdr>
        <w:top w:val="none" w:sz="0" w:space="0" w:color="auto"/>
        <w:left w:val="none" w:sz="0" w:space="0" w:color="auto"/>
        <w:bottom w:val="none" w:sz="0" w:space="0" w:color="auto"/>
        <w:right w:val="none" w:sz="0" w:space="0" w:color="auto"/>
      </w:divBdr>
      <w:divsChild>
        <w:div w:id="321084590">
          <w:marLeft w:val="0"/>
          <w:marRight w:val="0"/>
          <w:marTop w:val="0"/>
          <w:marBottom w:val="0"/>
          <w:divBdr>
            <w:top w:val="none" w:sz="0" w:space="0" w:color="auto"/>
            <w:left w:val="none" w:sz="0" w:space="0" w:color="auto"/>
            <w:bottom w:val="none" w:sz="0" w:space="0" w:color="auto"/>
            <w:right w:val="none" w:sz="0" w:space="0" w:color="auto"/>
          </w:divBdr>
        </w:div>
      </w:divsChild>
    </w:div>
    <w:div w:id="579488977">
      <w:bodyDiv w:val="1"/>
      <w:marLeft w:val="0"/>
      <w:marRight w:val="0"/>
      <w:marTop w:val="0"/>
      <w:marBottom w:val="0"/>
      <w:divBdr>
        <w:top w:val="none" w:sz="0" w:space="0" w:color="auto"/>
        <w:left w:val="none" w:sz="0" w:space="0" w:color="auto"/>
        <w:bottom w:val="none" w:sz="0" w:space="0" w:color="auto"/>
        <w:right w:val="none" w:sz="0" w:space="0" w:color="auto"/>
      </w:divBdr>
      <w:divsChild>
        <w:div w:id="1559628872">
          <w:marLeft w:val="0"/>
          <w:marRight w:val="0"/>
          <w:marTop w:val="0"/>
          <w:marBottom w:val="0"/>
          <w:divBdr>
            <w:top w:val="none" w:sz="0" w:space="0" w:color="auto"/>
            <w:left w:val="none" w:sz="0" w:space="0" w:color="auto"/>
            <w:bottom w:val="none" w:sz="0" w:space="0" w:color="auto"/>
            <w:right w:val="none" w:sz="0" w:space="0" w:color="auto"/>
          </w:divBdr>
        </w:div>
      </w:divsChild>
    </w:div>
    <w:div w:id="592249946">
      <w:bodyDiv w:val="1"/>
      <w:marLeft w:val="0"/>
      <w:marRight w:val="0"/>
      <w:marTop w:val="0"/>
      <w:marBottom w:val="0"/>
      <w:divBdr>
        <w:top w:val="none" w:sz="0" w:space="0" w:color="auto"/>
        <w:left w:val="none" w:sz="0" w:space="0" w:color="auto"/>
        <w:bottom w:val="none" w:sz="0" w:space="0" w:color="auto"/>
        <w:right w:val="none" w:sz="0" w:space="0" w:color="auto"/>
      </w:divBdr>
      <w:divsChild>
        <w:div w:id="132448260">
          <w:marLeft w:val="0"/>
          <w:marRight w:val="0"/>
          <w:marTop w:val="0"/>
          <w:marBottom w:val="0"/>
          <w:divBdr>
            <w:top w:val="none" w:sz="0" w:space="0" w:color="auto"/>
            <w:left w:val="none" w:sz="0" w:space="0" w:color="auto"/>
            <w:bottom w:val="none" w:sz="0" w:space="0" w:color="auto"/>
            <w:right w:val="none" w:sz="0" w:space="0" w:color="auto"/>
          </w:divBdr>
        </w:div>
      </w:divsChild>
    </w:div>
    <w:div w:id="776175535">
      <w:bodyDiv w:val="1"/>
      <w:marLeft w:val="0"/>
      <w:marRight w:val="0"/>
      <w:marTop w:val="0"/>
      <w:marBottom w:val="0"/>
      <w:divBdr>
        <w:top w:val="none" w:sz="0" w:space="0" w:color="auto"/>
        <w:left w:val="none" w:sz="0" w:space="0" w:color="auto"/>
        <w:bottom w:val="none" w:sz="0" w:space="0" w:color="auto"/>
        <w:right w:val="none" w:sz="0" w:space="0" w:color="auto"/>
      </w:divBdr>
    </w:div>
    <w:div w:id="153538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2020-02-23T20:47:00Z</dcterms:created>
  <dcterms:modified xsi:type="dcterms:W3CDTF">2020-02-23T20:47:00Z</dcterms:modified>
</cp:coreProperties>
</file>