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414723" w:rsidRDefault="00414723" w:rsidP="00B53764">
      <w:pPr>
        <w:spacing w:line="480" w:lineRule="auto"/>
        <w:jc w:val="center"/>
        <w:rPr>
          <w:rFonts w:ascii="Times New Roman" w:hAnsi="Times New Roman" w:cs="Times New Roman"/>
          <w:b/>
          <w:sz w:val="24"/>
          <w:szCs w:val="24"/>
        </w:rPr>
      </w:pPr>
      <w:r w:rsidRPr="00414723">
        <w:rPr>
          <w:rFonts w:ascii="Times New Roman" w:hAnsi="Times New Roman" w:cs="Times New Roman"/>
          <w:b/>
          <w:sz w:val="24"/>
          <w:szCs w:val="24"/>
        </w:rPr>
        <w:t>New Zealand Health Care</w:t>
      </w:r>
    </w:p>
    <w:p w:rsidR="00AD044D" w:rsidRPr="00AD044D" w:rsidRDefault="00AD044D" w:rsidP="00B53764">
      <w:pPr>
        <w:spacing w:line="480" w:lineRule="auto"/>
        <w:jc w:val="center"/>
        <w:rPr>
          <w:rFonts w:ascii="Times New Roman" w:hAnsi="Times New Roman" w:cs="Times New Roman"/>
          <w:sz w:val="24"/>
          <w:szCs w:val="24"/>
        </w:rPr>
      </w:pPr>
      <w:r w:rsidRPr="00AD044D">
        <w:rPr>
          <w:rFonts w:ascii="Times New Roman" w:hAnsi="Times New Roman" w:cs="Times New Roman"/>
          <w:sz w:val="24"/>
          <w:szCs w:val="24"/>
        </w:rPr>
        <w:t>Name</w:t>
      </w:r>
    </w:p>
    <w:p w:rsidR="00AD044D" w:rsidRPr="00AD044D" w:rsidRDefault="00AD044D" w:rsidP="00B53764">
      <w:pPr>
        <w:spacing w:line="480" w:lineRule="auto"/>
        <w:jc w:val="center"/>
        <w:rPr>
          <w:rFonts w:ascii="Times New Roman" w:hAnsi="Times New Roman" w:cs="Times New Roman"/>
          <w:sz w:val="24"/>
          <w:szCs w:val="24"/>
        </w:rPr>
      </w:pPr>
      <w:r w:rsidRPr="00AD044D">
        <w:rPr>
          <w:rFonts w:ascii="Times New Roman" w:hAnsi="Times New Roman" w:cs="Times New Roman"/>
          <w:sz w:val="24"/>
          <w:szCs w:val="24"/>
        </w:rPr>
        <w:t>Institution</w:t>
      </w:r>
    </w:p>
    <w:p w:rsidR="00AD044D" w:rsidRPr="00AD044D" w:rsidRDefault="00AD044D" w:rsidP="00B53764">
      <w:pPr>
        <w:spacing w:line="480" w:lineRule="auto"/>
        <w:jc w:val="center"/>
        <w:rPr>
          <w:rFonts w:ascii="Times New Roman" w:hAnsi="Times New Roman" w:cs="Times New Roman"/>
          <w:sz w:val="24"/>
          <w:szCs w:val="24"/>
        </w:rPr>
      </w:pPr>
      <w:r w:rsidRPr="00AD044D">
        <w:rPr>
          <w:rFonts w:ascii="Times New Roman" w:hAnsi="Times New Roman" w:cs="Times New Roman"/>
          <w:sz w:val="24"/>
          <w:szCs w:val="24"/>
        </w:rPr>
        <w:t>Date</w:t>
      </w:r>
    </w:p>
    <w:p w:rsidR="00AD044D" w:rsidRPr="00414723"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B53764">
      <w:pPr>
        <w:spacing w:line="480" w:lineRule="auto"/>
        <w:jc w:val="center"/>
        <w:rPr>
          <w:rFonts w:ascii="Times New Roman" w:hAnsi="Times New Roman" w:cs="Times New Roman"/>
          <w:b/>
          <w:sz w:val="24"/>
          <w:szCs w:val="24"/>
        </w:rPr>
      </w:pPr>
    </w:p>
    <w:p w:rsidR="00AD044D" w:rsidRDefault="00AD044D" w:rsidP="00AD044D">
      <w:pPr>
        <w:spacing w:line="480" w:lineRule="auto"/>
        <w:rPr>
          <w:rFonts w:ascii="Times New Roman" w:hAnsi="Times New Roman" w:cs="Times New Roman"/>
          <w:b/>
          <w:sz w:val="24"/>
          <w:szCs w:val="24"/>
        </w:rPr>
      </w:pPr>
    </w:p>
    <w:p w:rsidR="00AD044D" w:rsidRDefault="00AD044D" w:rsidP="00AD044D">
      <w:pPr>
        <w:spacing w:line="480" w:lineRule="auto"/>
        <w:jc w:val="center"/>
        <w:rPr>
          <w:rFonts w:ascii="Times New Roman" w:hAnsi="Times New Roman" w:cs="Times New Roman"/>
          <w:b/>
          <w:sz w:val="24"/>
          <w:szCs w:val="24"/>
        </w:rPr>
      </w:pPr>
      <w:r w:rsidRPr="00414723">
        <w:rPr>
          <w:rFonts w:ascii="Times New Roman" w:hAnsi="Times New Roman" w:cs="Times New Roman"/>
          <w:b/>
          <w:sz w:val="24"/>
          <w:szCs w:val="24"/>
        </w:rPr>
        <w:lastRenderedPageBreak/>
        <w:t>New Zealand Health Care</w:t>
      </w:r>
    </w:p>
    <w:p w:rsidR="00DE1ADA" w:rsidRPr="00B53764" w:rsidRDefault="00DE1ADA" w:rsidP="00B53764">
      <w:pPr>
        <w:spacing w:line="480" w:lineRule="auto"/>
        <w:jc w:val="center"/>
        <w:rPr>
          <w:rFonts w:ascii="Times New Roman" w:hAnsi="Times New Roman" w:cs="Times New Roman"/>
          <w:b/>
          <w:sz w:val="24"/>
          <w:szCs w:val="24"/>
        </w:rPr>
      </w:pPr>
      <w:r w:rsidRPr="00B53764">
        <w:rPr>
          <w:rFonts w:ascii="Times New Roman" w:hAnsi="Times New Roman" w:cs="Times New Roman"/>
          <w:b/>
          <w:sz w:val="24"/>
          <w:szCs w:val="24"/>
        </w:rPr>
        <w:t>Question one</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 xml:space="preserve">New Zealand government is a </w:t>
      </w:r>
      <w:r w:rsidR="004001CE" w:rsidRPr="00B53764">
        <w:rPr>
          <w:rFonts w:ascii="Times New Roman" w:hAnsi="Times New Roman" w:cs="Times New Roman"/>
          <w:sz w:val="24"/>
          <w:szCs w:val="24"/>
        </w:rPr>
        <w:t>statutory</w:t>
      </w:r>
      <w:r w:rsidRPr="00B53764">
        <w:rPr>
          <w:rFonts w:ascii="Times New Roman" w:hAnsi="Times New Roman" w:cs="Times New Roman"/>
          <w:sz w:val="24"/>
          <w:szCs w:val="24"/>
        </w:rPr>
        <w:t xml:space="preserve"> monarch with a parliamentary system. The government system is straightforward and compact, with only two tiers of government, which are the central and local government.</w:t>
      </w:r>
      <w:r w:rsidR="00CD4B92">
        <w:rPr>
          <w:rFonts w:ascii="Times New Roman" w:hAnsi="Times New Roman" w:cs="Times New Roman"/>
          <w:sz w:val="24"/>
          <w:szCs w:val="24"/>
        </w:rPr>
        <w:t xml:space="preserve">  The central government makes </w:t>
      </w:r>
      <w:r w:rsidRPr="00B53764">
        <w:rPr>
          <w:rFonts w:ascii="Times New Roman" w:hAnsi="Times New Roman" w:cs="Times New Roman"/>
          <w:sz w:val="24"/>
          <w:szCs w:val="24"/>
        </w:rPr>
        <w:t>decision</w:t>
      </w:r>
      <w:r w:rsidR="00CD4B92">
        <w:rPr>
          <w:rFonts w:ascii="Times New Roman" w:hAnsi="Times New Roman" w:cs="Times New Roman"/>
          <w:sz w:val="24"/>
          <w:szCs w:val="24"/>
        </w:rPr>
        <w:t>s</w:t>
      </w:r>
      <w:r w:rsidRPr="00B53764">
        <w:rPr>
          <w:rFonts w:ascii="Times New Roman" w:hAnsi="Times New Roman" w:cs="Times New Roman"/>
          <w:sz w:val="24"/>
          <w:szCs w:val="24"/>
        </w:rPr>
        <w:t xml:space="preserve"> affecting New Zealand as a whole. In contrast, the local government looks at the commu</w:t>
      </w:r>
      <w:r w:rsidR="00CD4B92">
        <w:rPr>
          <w:rFonts w:ascii="Times New Roman" w:hAnsi="Times New Roman" w:cs="Times New Roman"/>
          <w:sz w:val="24"/>
          <w:szCs w:val="24"/>
        </w:rPr>
        <w:t>nities' interests and needs, through</w:t>
      </w:r>
      <w:r w:rsidRPr="00B53764">
        <w:rPr>
          <w:rFonts w:ascii="Times New Roman" w:hAnsi="Times New Roman" w:cs="Times New Roman"/>
          <w:sz w:val="24"/>
          <w:szCs w:val="24"/>
        </w:rPr>
        <w:t xml:space="preserve"> councils in the region's</w:t>
      </w:r>
      <w:r w:rsidR="00CD4B92">
        <w:rPr>
          <w:rFonts w:ascii="Times New Roman" w:hAnsi="Times New Roman" w:cs="Times New Roman"/>
          <w:sz w:val="24"/>
          <w:szCs w:val="24"/>
        </w:rPr>
        <w:t>,</w:t>
      </w:r>
      <w:r w:rsidRPr="00B53764">
        <w:rPr>
          <w:rFonts w:ascii="Times New Roman" w:hAnsi="Times New Roman" w:cs="Times New Roman"/>
          <w:sz w:val="24"/>
          <w:szCs w:val="24"/>
        </w:rPr>
        <w:t xml:space="preserve"> city, and districts.</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Two</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The demographics</w:t>
      </w:r>
      <w:r w:rsidR="00CD4B92">
        <w:rPr>
          <w:rFonts w:ascii="Times New Roman" w:hAnsi="Times New Roman" w:cs="Times New Roman"/>
          <w:sz w:val="24"/>
          <w:szCs w:val="24"/>
        </w:rPr>
        <w:t xml:space="preserve"> of New Zealand</w:t>
      </w:r>
      <w:bookmarkStart w:id="0" w:name="_GoBack"/>
      <w:bookmarkEnd w:id="0"/>
      <w:r w:rsidRPr="00B53764">
        <w:rPr>
          <w:rFonts w:ascii="Times New Roman" w:hAnsi="Times New Roman" w:cs="Times New Roman"/>
          <w:sz w:val="24"/>
          <w:szCs w:val="24"/>
        </w:rPr>
        <w:t xml:space="preserve"> encompass the ethnic, gender, religious, and economic background of close to five million people in the country. The population's growth rate is currently at a projection of 2.1%, with a birth rate of 12.43 per 1000 pop and a death rate of 6.95 per 1000 pop. Life expectancy for males is 79.9 years, while for females is </w:t>
      </w:r>
      <w:r w:rsidR="00C8224E" w:rsidRPr="00B53764">
        <w:rPr>
          <w:rFonts w:ascii="Times New Roman" w:hAnsi="Times New Roman" w:cs="Times New Roman"/>
          <w:sz w:val="24"/>
          <w:szCs w:val="24"/>
        </w:rPr>
        <w:t>83.4 (</w:t>
      </w:r>
      <w:r w:rsidR="00C8224E" w:rsidRPr="00B53764">
        <w:rPr>
          <w:rFonts w:ascii="Times New Roman" w:hAnsi="Times New Roman" w:cs="Times New Roman"/>
          <w:color w:val="222222"/>
          <w:sz w:val="24"/>
          <w:szCs w:val="24"/>
          <w:shd w:val="clear" w:color="auto" w:fill="FFFFFF"/>
        </w:rPr>
        <w:t>Greaves et al., 2017).</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Three</w:t>
      </w:r>
    </w:p>
    <w:p w:rsidR="00C8224E"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The Population of New Zealand continues to rise, but at a slow rate currently. The population is 4,822,233 according to UN data in mid-2020. The population density in New Zealand is 18 per Km2 (47 people per mi2)</w:t>
      </w:r>
      <w:r w:rsidR="00AD044D">
        <w:rPr>
          <w:rFonts w:ascii="Times New Roman" w:hAnsi="Times New Roman" w:cs="Times New Roman"/>
          <w:sz w:val="24"/>
          <w:szCs w:val="24"/>
        </w:rPr>
        <w:t xml:space="preserve"> </w:t>
      </w:r>
      <w:r w:rsidR="00C8224E" w:rsidRPr="00B53764">
        <w:rPr>
          <w:rFonts w:ascii="Times New Roman" w:hAnsi="Times New Roman" w:cs="Times New Roman"/>
          <w:sz w:val="24"/>
          <w:szCs w:val="24"/>
        </w:rPr>
        <w:t>(</w:t>
      </w:r>
      <w:r w:rsidR="00C8224E" w:rsidRPr="00B53764">
        <w:rPr>
          <w:rFonts w:ascii="Times New Roman" w:hAnsi="Times New Roman" w:cs="Times New Roman"/>
          <w:color w:val="222222"/>
          <w:sz w:val="24"/>
          <w:szCs w:val="24"/>
          <w:shd w:val="clear" w:color="auto" w:fill="FFFFFF"/>
        </w:rPr>
        <w:t>Greaves et al., 2017).</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Four</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 xml:space="preserve">New Zealand's health care system is built on the Kiwis' need to ensure that everyone gets a fair go in life. Currently, the health care system in New Zealand has universal health coverage where the regionally </w:t>
      </w:r>
      <w:r w:rsidR="004001CE" w:rsidRPr="00B53764">
        <w:rPr>
          <w:rFonts w:ascii="Times New Roman" w:hAnsi="Times New Roman" w:cs="Times New Roman"/>
          <w:sz w:val="24"/>
          <w:szCs w:val="24"/>
        </w:rPr>
        <w:t>controlled</w:t>
      </w:r>
      <w:r w:rsidRPr="00B53764">
        <w:rPr>
          <w:rFonts w:ascii="Times New Roman" w:hAnsi="Times New Roman" w:cs="Times New Roman"/>
          <w:sz w:val="24"/>
          <w:szCs w:val="24"/>
        </w:rPr>
        <w:t xml:space="preserve"> delivery system is publicly funded. The universal coverage </w:t>
      </w:r>
      <w:r w:rsidRPr="00B53764">
        <w:rPr>
          <w:rFonts w:ascii="Times New Roman" w:hAnsi="Times New Roman" w:cs="Times New Roman"/>
          <w:sz w:val="24"/>
          <w:szCs w:val="24"/>
        </w:rPr>
        <w:lastRenderedPageBreak/>
        <w:t>includes services such as outpatient, inpatients mental health prescri</w:t>
      </w:r>
      <w:r w:rsidR="00B53764" w:rsidRPr="00B53764">
        <w:rPr>
          <w:rFonts w:ascii="Times New Roman" w:hAnsi="Times New Roman" w:cs="Times New Roman"/>
          <w:sz w:val="24"/>
          <w:szCs w:val="24"/>
        </w:rPr>
        <w:t>ption drugs, and long-term care (</w:t>
      </w:r>
      <w:r w:rsidR="00B53764" w:rsidRPr="00B53764">
        <w:rPr>
          <w:rFonts w:ascii="Times New Roman" w:hAnsi="Times New Roman" w:cs="Times New Roman"/>
          <w:color w:val="222222"/>
          <w:sz w:val="24"/>
          <w:szCs w:val="24"/>
          <w:shd w:val="clear" w:color="auto" w:fill="FFFFFF"/>
        </w:rPr>
        <w:t>Akmal, &amp;Gauld, 2020).</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Five</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 xml:space="preserve">The health care system in New Zealand has witnessed several changes. The social security Act, which was established in 1938, stated that the government had a </w:t>
      </w:r>
      <w:r w:rsidR="004001CE" w:rsidRPr="00B53764">
        <w:rPr>
          <w:rFonts w:ascii="Times New Roman" w:hAnsi="Times New Roman" w:cs="Times New Roman"/>
          <w:sz w:val="24"/>
          <w:szCs w:val="24"/>
        </w:rPr>
        <w:t>central</w:t>
      </w:r>
      <w:r w:rsidRPr="00B53764">
        <w:rPr>
          <w:rFonts w:ascii="Times New Roman" w:hAnsi="Times New Roman" w:cs="Times New Roman"/>
          <w:sz w:val="24"/>
          <w:szCs w:val="24"/>
        </w:rPr>
        <w:t xml:space="preserve"> role in providing healthcare according to the </w:t>
      </w:r>
      <w:r w:rsidR="004001CE" w:rsidRPr="00B53764">
        <w:rPr>
          <w:rFonts w:ascii="Times New Roman" w:hAnsi="Times New Roman" w:cs="Times New Roman"/>
          <w:sz w:val="24"/>
          <w:szCs w:val="24"/>
        </w:rPr>
        <w:t>people’s</w:t>
      </w:r>
      <w:r w:rsidRPr="00B53764">
        <w:rPr>
          <w:rFonts w:ascii="Times New Roman" w:hAnsi="Times New Roman" w:cs="Times New Roman"/>
          <w:sz w:val="24"/>
          <w:szCs w:val="24"/>
        </w:rPr>
        <w:t xml:space="preserve"> needs. Arguably the act was the first step towards the achievement of universal health coverage, which is a fully public system. Other reforms have introduced health and market insurance elements, which have created a public-private system for providing healthcare. Recently there was proposed to completely overhaul the New Zealand health system, such as slashing of Districts Health Board (DHB) numbers </w:t>
      </w:r>
      <w:r w:rsidR="00B53764" w:rsidRPr="00B53764">
        <w:rPr>
          <w:rFonts w:ascii="Times New Roman" w:hAnsi="Times New Roman" w:cs="Times New Roman"/>
          <w:sz w:val="24"/>
          <w:szCs w:val="24"/>
        </w:rPr>
        <w:t>from twenty to between 8 and 12 (</w:t>
      </w:r>
      <w:r w:rsidR="00B53764" w:rsidRPr="00B53764">
        <w:rPr>
          <w:rFonts w:ascii="Times New Roman" w:hAnsi="Times New Roman" w:cs="Times New Roman"/>
          <w:color w:val="222222"/>
          <w:sz w:val="24"/>
          <w:szCs w:val="24"/>
          <w:shd w:val="clear" w:color="auto" w:fill="FFFFFF"/>
        </w:rPr>
        <w:t xml:space="preserve">Akmal, &amp;Gauld, 2020). </w:t>
      </w:r>
      <w:r w:rsidRPr="00B53764">
        <w:rPr>
          <w:rFonts w:ascii="Times New Roman" w:hAnsi="Times New Roman" w:cs="Times New Roman"/>
          <w:sz w:val="24"/>
          <w:szCs w:val="24"/>
        </w:rPr>
        <w:t>The ministry of health is responsible for the funding of the DHB who organizes healthcare, and meets the standards set by the ministry. Additionally, recent development has been developed with the final report of the health and disability system review recommending a new crown entity. Therefore the new entity named Health NZ will be focusing on operation delivery of disability and health services and financial performance.</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Six</w:t>
      </w:r>
    </w:p>
    <w:p w:rsidR="00B53764" w:rsidRPr="00B53764" w:rsidRDefault="00DE1ADA" w:rsidP="00B53764">
      <w:pPr>
        <w:spacing w:line="480" w:lineRule="auto"/>
        <w:ind w:firstLine="720"/>
        <w:rPr>
          <w:rFonts w:ascii="Times New Roman" w:hAnsi="Times New Roman" w:cs="Times New Roman"/>
          <w:color w:val="222222"/>
          <w:sz w:val="24"/>
          <w:szCs w:val="24"/>
          <w:shd w:val="clear" w:color="auto" w:fill="FFFFFF"/>
        </w:rPr>
      </w:pPr>
      <w:r w:rsidRPr="00B53764">
        <w:rPr>
          <w:rFonts w:ascii="Times New Roman" w:hAnsi="Times New Roman" w:cs="Times New Roman"/>
          <w:sz w:val="24"/>
          <w:szCs w:val="24"/>
        </w:rPr>
        <w:t>The</w:t>
      </w:r>
      <w:r w:rsidR="00C13E21" w:rsidRPr="00B53764">
        <w:rPr>
          <w:rFonts w:ascii="Times New Roman" w:hAnsi="Times New Roman" w:cs="Times New Roman"/>
          <w:sz w:val="24"/>
          <w:szCs w:val="24"/>
        </w:rPr>
        <w:t xml:space="preserve"> New Zealand ministry</w:t>
      </w:r>
      <w:r w:rsidRPr="00B53764">
        <w:rPr>
          <w:rFonts w:ascii="Times New Roman" w:hAnsi="Times New Roman" w:cs="Times New Roman"/>
          <w:sz w:val="24"/>
          <w:szCs w:val="24"/>
        </w:rPr>
        <w:t xml:space="preserve"> of health is responsible for overseeing the </w:t>
      </w:r>
      <w:r w:rsidR="004001CE" w:rsidRPr="00B53764">
        <w:rPr>
          <w:rFonts w:ascii="Times New Roman" w:hAnsi="Times New Roman" w:cs="Times New Roman"/>
          <w:sz w:val="24"/>
          <w:szCs w:val="24"/>
        </w:rPr>
        <w:t>provision of</w:t>
      </w:r>
      <w:r w:rsidRPr="00B53764">
        <w:rPr>
          <w:rFonts w:ascii="Times New Roman" w:hAnsi="Times New Roman" w:cs="Times New Roman"/>
          <w:sz w:val="24"/>
          <w:szCs w:val="24"/>
        </w:rPr>
        <w:t xml:space="preserve"> health care. There are 20 established DHB that acts as a channel for distributing funds that plan, deliver, and fund healthcare in their respective districts. The DHB is accountable to the ministry of health, and they directly provide community and hospital-led services, incl</w:t>
      </w:r>
      <w:r w:rsidR="00142EA0" w:rsidRPr="00B53764">
        <w:rPr>
          <w:rFonts w:ascii="Times New Roman" w:hAnsi="Times New Roman" w:cs="Times New Roman"/>
          <w:sz w:val="24"/>
          <w:szCs w:val="24"/>
        </w:rPr>
        <w:t>uding district nursing services (</w:t>
      </w:r>
      <w:r w:rsidR="00142EA0" w:rsidRPr="00B53764">
        <w:rPr>
          <w:rFonts w:ascii="Times New Roman" w:hAnsi="Times New Roman" w:cs="Times New Roman"/>
          <w:color w:val="222222"/>
          <w:sz w:val="24"/>
          <w:szCs w:val="24"/>
          <w:shd w:val="clear" w:color="auto" w:fill="FFFFFF"/>
        </w:rPr>
        <w:t>Stokes et al., 2019).</w:t>
      </w:r>
      <w:r w:rsidRPr="00B53764">
        <w:rPr>
          <w:rFonts w:ascii="Times New Roman" w:hAnsi="Times New Roman" w:cs="Times New Roman"/>
          <w:sz w:val="24"/>
          <w:szCs w:val="24"/>
        </w:rPr>
        <w:t xml:space="preserve">The DHB boards also offer services through the Primary Health Organization (PHOs), who contract health care homes and other general practices to provide </w:t>
      </w:r>
      <w:r w:rsidRPr="00B53764">
        <w:rPr>
          <w:rFonts w:ascii="Times New Roman" w:hAnsi="Times New Roman" w:cs="Times New Roman"/>
          <w:sz w:val="24"/>
          <w:szCs w:val="24"/>
        </w:rPr>
        <w:lastRenderedPageBreak/>
        <w:t xml:space="preserve">primary health care. Additionally, other primary healthcare providers are contracted, such as laboratories, pharmacists, and private, for both profit and nonprofit to deliver </w:t>
      </w:r>
      <w:r w:rsidR="004001CE" w:rsidRPr="00B53764">
        <w:rPr>
          <w:rFonts w:ascii="Times New Roman" w:hAnsi="Times New Roman" w:cs="Times New Roman"/>
          <w:sz w:val="24"/>
          <w:szCs w:val="24"/>
        </w:rPr>
        <w:t>public</w:t>
      </w:r>
      <w:r w:rsidRPr="00B53764">
        <w:rPr>
          <w:rFonts w:ascii="Times New Roman" w:hAnsi="Times New Roman" w:cs="Times New Roman"/>
          <w:sz w:val="24"/>
          <w:szCs w:val="24"/>
        </w:rPr>
        <w:t xml:space="preserve"> care services. The health care system in New Zealand is mostly and expansively funded and financed publicly through taxes. With most of the funding on the delivery stem coming from taxation, New Zealand's government spent less per capita on health care than other countries. The health expenditure from the government tends to be higher. In addition, the ministry of health funds the delivery system directly through national services such as public health services, well-child services, midwifery services, and disability services f</w:t>
      </w:r>
      <w:r w:rsidR="00B53764" w:rsidRPr="00B53764">
        <w:rPr>
          <w:rFonts w:ascii="Times New Roman" w:hAnsi="Times New Roman" w:cs="Times New Roman"/>
          <w:sz w:val="24"/>
          <w:szCs w:val="24"/>
        </w:rPr>
        <w:t>or those aged under sixty-five (</w:t>
      </w:r>
      <w:r w:rsidR="00B53764" w:rsidRPr="00B53764">
        <w:rPr>
          <w:rFonts w:ascii="Times New Roman" w:hAnsi="Times New Roman" w:cs="Times New Roman"/>
          <w:color w:val="222222"/>
          <w:sz w:val="24"/>
          <w:szCs w:val="24"/>
          <w:shd w:val="clear" w:color="auto" w:fill="FFFFFF"/>
        </w:rPr>
        <w:t>Akmal, &amp;</w:t>
      </w:r>
      <w:r w:rsidR="00AD044D">
        <w:rPr>
          <w:rFonts w:ascii="Times New Roman" w:hAnsi="Times New Roman" w:cs="Times New Roman"/>
          <w:color w:val="222222"/>
          <w:sz w:val="24"/>
          <w:szCs w:val="24"/>
          <w:shd w:val="clear" w:color="auto" w:fill="FFFFFF"/>
        </w:rPr>
        <w:t xml:space="preserve"> </w:t>
      </w:r>
      <w:r w:rsidR="00B53764" w:rsidRPr="00B53764">
        <w:rPr>
          <w:rFonts w:ascii="Times New Roman" w:hAnsi="Times New Roman" w:cs="Times New Roman"/>
          <w:color w:val="222222"/>
          <w:sz w:val="24"/>
          <w:szCs w:val="24"/>
          <w:shd w:val="clear" w:color="auto" w:fill="FFFFFF"/>
        </w:rPr>
        <w:t xml:space="preserve">Gauld, 2020). </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Seven</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All permanents residents in New Zealand have access to the comprehensive services provide by public health insurance since they are publicly financed from pooled overall taxes. However, there is an exception on the treatment of related services covered by the no-fault accident compensation scheme. However, non-residents are not covered by public health insurance; hence, they are charged fully.  Private health insurance, which accounts for almost five percent of the total health expenditure, is offered by various organizations. Private health insurance covers services such as cost-sharing requirements, private outpatient specialists, elective surgery, and consulta</w:t>
      </w:r>
      <w:r w:rsidR="00142EA0" w:rsidRPr="00B53764">
        <w:rPr>
          <w:rFonts w:ascii="Times New Roman" w:hAnsi="Times New Roman" w:cs="Times New Roman"/>
          <w:sz w:val="24"/>
          <w:szCs w:val="24"/>
        </w:rPr>
        <w:t>tion in private health centers (</w:t>
      </w:r>
      <w:r w:rsidR="00142EA0" w:rsidRPr="00B53764">
        <w:rPr>
          <w:rFonts w:ascii="Times New Roman" w:hAnsi="Times New Roman" w:cs="Times New Roman"/>
          <w:color w:val="222222"/>
          <w:sz w:val="24"/>
          <w:szCs w:val="24"/>
          <w:shd w:val="clear" w:color="auto" w:fill="FFFFFF"/>
        </w:rPr>
        <w:t>Stokes et al., 2019).</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Eight</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Public-funded insurance covers several services such as inpatient and outpatient hospital services, pre</w:t>
      </w:r>
      <w:r w:rsidR="004001CE" w:rsidRPr="00B53764">
        <w:rPr>
          <w:rFonts w:ascii="Times New Roman" w:hAnsi="Times New Roman" w:cs="Times New Roman"/>
          <w:sz w:val="24"/>
          <w:szCs w:val="24"/>
        </w:rPr>
        <w:t>ventive care, maternity</w:t>
      </w:r>
      <w:r w:rsidRPr="00B53764">
        <w:rPr>
          <w:rFonts w:ascii="Times New Roman" w:hAnsi="Times New Roman" w:cs="Times New Roman"/>
          <w:sz w:val="24"/>
          <w:szCs w:val="24"/>
        </w:rPr>
        <w:t xml:space="preserve">, </w:t>
      </w:r>
      <w:r w:rsidR="00CA254D" w:rsidRPr="00B53764">
        <w:rPr>
          <w:rFonts w:ascii="Times New Roman" w:hAnsi="Times New Roman" w:cs="Times New Roman"/>
          <w:sz w:val="24"/>
          <w:szCs w:val="24"/>
        </w:rPr>
        <w:t>and physical</w:t>
      </w:r>
      <w:r w:rsidRPr="00B53764">
        <w:rPr>
          <w:rFonts w:ascii="Times New Roman" w:hAnsi="Times New Roman" w:cs="Times New Roman"/>
          <w:sz w:val="24"/>
          <w:szCs w:val="24"/>
        </w:rPr>
        <w:t xml:space="preserve"> therapy</w:t>
      </w:r>
      <w:r w:rsidR="004001CE" w:rsidRPr="00B53764">
        <w:rPr>
          <w:rFonts w:ascii="Times New Roman" w:hAnsi="Times New Roman" w:cs="Times New Roman"/>
          <w:sz w:val="24"/>
          <w:szCs w:val="24"/>
        </w:rPr>
        <w:t xml:space="preserve"> services</w:t>
      </w:r>
      <w:r w:rsidRPr="00B53764">
        <w:rPr>
          <w:rFonts w:ascii="Times New Roman" w:hAnsi="Times New Roman" w:cs="Times New Roman"/>
          <w:sz w:val="24"/>
          <w:szCs w:val="24"/>
        </w:rPr>
        <w:t xml:space="preserve">. Also, it covers primary care through private providers but with exceptions of certain services such as dental services for </w:t>
      </w:r>
      <w:r w:rsidRPr="00B53764">
        <w:rPr>
          <w:rFonts w:ascii="Times New Roman" w:hAnsi="Times New Roman" w:cs="Times New Roman"/>
          <w:sz w:val="24"/>
          <w:szCs w:val="24"/>
        </w:rPr>
        <w:lastRenderedPageBreak/>
        <w:t xml:space="preserve">adults, orthodontics </w:t>
      </w:r>
      <w:r w:rsidR="00142EA0" w:rsidRPr="00B53764">
        <w:rPr>
          <w:rFonts w:ascii="Times New Roman" w:hAnsi="Times New Roman" w:cs="Times New Roman"/>
          <w:sz w:val="24"/>
          <w:szCs w:val="24"/>
        </w:rPr>
        <w:t>physiotherapy, and optometry (</w:t>
      </w:r>
      <w:r w:rsidR="00142EA0" w:rsidRPr="00B53764">
        <w:rPr>
          <w:rFonts w:ascii="Times New Roman" w:hAnsi="Times New Roman" w:cs="Times New Roman"/>
          <w:color w:val="222222"/>
          <w:sz w:val="24"/>
          <w:szCs w:val="24"/>
          <w:shd w:val="clear" w:color="auto" w:fill="FFFFFF"/>
        </w:rPr>
        <w:t>Chin et al., 2018).</w:t>
      </w:r>
      <w:r w:rsidR="00142EA0" w:rsidRPr="00B53764">
        <w:rPr>
          <w:rFonts w:ascii="Times New Roman" w:hAnsi="Times New Roman" w:cs="Times New Roman"/>
          <w:sz w:val="24"/>
          <w:szCs w:val="24"/>
        </w:rPr>
        <w:t xml:space="preserve"> In addition</w:t>
      </w:r>
      <w:r w:rsidRPr="00B53764">
        <w:rPr>
          <w:rFonts w:ascii="Times New Roman" w:hAnsi="Times New Roman" w:cs="Times New Roman"/>
          <w:sz w:val="24"/>
          <w:szCs w:val="24"/>
        </w:rPr>
        <w:t>, they cover long-term care, mental health care disability su</w:t>
      </w:r>
      <w:r w:rsidR="004001CE" w:rsidRPr="00B53764">
        <w:rPr>
          <w:rFonts w:ascii="Times New Roman" w:hAnsi="Times New Roman" w:cs="Times New Roman"/>
          <w:sz w:val="24"/>
          <w:szCs w:val="24"/>
        </w:rPr>
        <w:t>pport services, and dental services for</w:t>
      </w:r>
      <w:r w:rsidRPr="00B53764">
        <w:rPr>
          <w:rFonts w:ascii="Times New Roman" w:hAnsi="Times New Roman" w:cs="Times New Roman"/>
          <w:sz w:val="24"/>
          <w:szCs w:val="24"/>
        </w:rPr>
        <w:t xml:space="preserve"> children.</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Nine</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 xml:space="preserve">The role of New Zealand in health care includes setting policy plans for the delivery of health services. Arguably the government plays </w:t>
      </w:r>
      <w:r w:rsidR="00660210" w:rsidRPr="00B53764">
        <w:rPr>
          <w:rFonts w:ascii="Times New Roman" w:hAnsi="Times New Roman" w:cs="Times New Roman"/>
          <w:sz w:val="24"/>
          <w:szCs w:val="24"/>
        </w:rPr>
        <w:t>an essential</w:t>
      </w:r>
      <w:r w:rsidRPr="00B53764">
        <w:rPr>
          <w:rFonts w:ascii="Times New Roman" w:hAnsi="Times New Roman" w:cs="Times New Roman"/>
          <w:sz w:val="24"/>
          <w:szCs w:val="24"/>
        </w:rPr>
        <w:t xml:space="preserve"> role in developing the service requirement, which subsequently determines the annual allocation from its budget. All healthcare aspects are dominated by the government, which acts as the financier and supplier of health care. The role of the government extends to set regulations and monitor compliance within the health care system.   Annual budgets and benefits packages are set annually by the government based on health needs and political priorities. Generally, the government objectives</w:t>
      </w:r>
      <w:r w:rsidR="004001CE" w:rsidRPr="00B53764">
        <w:rPr>
          <w:rFonts w:ascii="Times New Roman" w:hAnsi="Times New Roman" w:cs="Times New Roman"/>
          <w:sz w:val="24"/>
          <w:szCs w:val="24"/>
        </w:rPr>
        <w:t>,</w:t>
      </w:r>
      <w:r w:rsidRPr="00B53764">
        <w:rPr>
          <w:rFonts w:ascii="Times New Roman" w:hAnsi="Times New Roman" w:cs="Times New Roman"/>
          <w:sz w:val="24"/>
          <w:szCs w:val="24"/>
        </w:rPr>
        <w:t xml:space="preserve"> and service requirements are </w:t>
      </w:r>
      <w:r w:rsidR="004001CE" w:rsidRPr="00B53764">
        <w:rPr>
          <w:rFonts w:ascii="Times New Roman" w:hAnsi="Times New Roman" w:cs="Times New Roman"/>
          <w:sz w:val="24"/>
          <w:szCs w:val="24"/>
        </w:rPr>
        <w:t>applied</w:t>
      </w:r>
      <w:r w:rsidR="00C8224E" w:rsidRPr="00B53764">
        <w:rPr>
          <w:rFonts w:ascii="Times New Roman" w:hAnsi="Times New Roman" w:cs="Times New Roman"/>
          <w:sz w:val="24"/>
          <w:szCs w:val="24"/>
        </w:rPr>
        <w:t xml:space="preserve"> by the DHB (</w:t>
      </w:r>
      <w:r w:rsidR="00C8224E" w:rsidRPr="00B53764">
        <w:rPr>
          <w:rFonts w:ascii="Times New Roman" w:hAnsi="Times New Roman" w:cs="Times New Roman"/>
          <w:color w:val="222222"/>
          <w:sz w:val="24"/>
          <w:szCs w:val="24"/>
          <w:shd w:val="clear" w:color="auto" w:fill="FFFFFF"/>
        </w:rPr>
        <w:t>Akmal</w:t>
      </w:r>
      <w:r w:rsidR="00AD044D">
        <w:rPr>
          <w:rFonts w:ascii="Times New Roman" w:hAnsi="Times New Roman" w:cs="Times New Roman"/>
          <w:color w:val="222222"/>
          <w:sz w:val="24"/>
          <w:szCs w:val="24"/>
          <w:shd w:val="clear" w:color="auto" w:fill="FFFFFF"/>
        </w:rPr>
        <w:t xml:space="preserve"> </w:t>
      </w:r>
      <w:r w:rsidR="00C8224E" w:rsidRPr="00B53764">
        <w:rPr>
          <w:rFonts w:ascii="Times New Roman" w:hAnsi="Times New Roman" w:cs="Times New Roman"/>
          <w:color w:val="222222"/>
          <w:sz w:val="24"/>
          <w:szCs w:val="24"/>
          <w:shd w:val="clear" w:color="auto" w:fill="FFFFFF"/>
        </w:rPr>
        <w:t>&amp;</w:t>
      </w:r>
      <w:r w:rsidR="00AD044D">
        <w:rPr>
          <w:rFonts w:ascii="Times New Roman" w:hAnsi="Times New Roman" w:cs="Times New Roman"/>
          <w:color w:val="222222"/>
          <w:sz w:val="24"/>
          <w:szCs w:val="24"/>
          <w:shd w:val="clear" w:color="auto" w:fill="FFFFFF"/>
        </w:rPr>
        <w:t xml:space="preserve"> </w:t>
      </w:r>
      <w:r w:rsidR="00C8224E" w:rsidRPr="00B53764">
        <w:rPr>
          <w:rFonts w:ascii="Times New Roman" w:hAnsi="Times New Roman" w:cs="Times New Roman"/>
          <w:color w:val="222222"/>
          <w:sz w:val="24"/>
          <w:szCs w:val="24"/>
          <w:shd w:val="clear" w:color="auto" w:fill="FFFFFF"/>
        </w:rPr>
        <w:t xml:space="preserve">Gauld, 2020). </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Question Ten</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 xml:space="preserve">Entities that are appointed and funded by the government dominate the governance structure of the health system. District Health Board is one of the entities for health system governance. Arguably the government is </w:t>
      </w:r>
      <w:r w:rsidR="004001CE" w:rsidRPr="00B53764">
        <w:rPr>
          <w:rFonts w:ascii="Times New Roman" w:hAnsi="Times New Roman" w:cs="Times New Roman"/>
          <w:sz w:val="24"/>
          <w:szCs w:val="24"/>
        </w:rPr>
        <w:t>in charge</w:t>
      </w:r>
      <w:r w:rsidRPr="00B53764">
        <w:rPr>
          <w:rFonts w:ascii="Times New Roman" w:hAnsi="Times New Roman" w:cs="Times New Roman"/>
          <w:sz w:val="24"/>
          <w:szCs w:val="24"/>
        </w:rPr>
        <w:t xml:space="preserve"> for purchasing, planning, and providing health services and disability support services to individuals aged over sixty-five through the DHB. For instance, the health and disability commissioner </w:t>
      </w:r>
      <w:r w:rsidR="004001CE" w:rsidRPr="00B53764">
        <w:rPr>
          <w:rFonts w:ascii="Times New Roman" w:hAnsi="Times New Roman" w:cs="Times New Roman"/>
          <w:sz w:val="24"/>
          <w:szCs w:val="24"/>
        </w:rPr>
        <w:t>defends consumers’</w:t>
      </w:r>
      <w:r w:rsidRPr="00B53764">
        <w:rPr>
          <w:rFonts w:ascii="Times New Roman" w:hAnsi="Times New Roman" w:cs="Times New Roman"/>
          <w:sz w:val="24"/>
          <w:szCs w:val="24"/>
        </w:rPr>
        <w:t xml:space="preserve"> rights in the health sector. Also, crown entities with their board are funded by the government and follow government policy on health. </w:t>
      </w:r>
    </w:p>
    <w:p w:rsidR="00DE1ADA" w:rsidRPr="00B53764" w:rsidRDefault="00DE1ADA" w:rsidP="00B53764">
      <w:pPr>
        <w:spacing w:line="480" w:lineRule="auto"/>
        <w:ind w:firstLine="720"/>
        <w:jc w:val="center"/>
        <w:rPr>
          <w:rFonts w:ascii="Times New Roman" w:hAnsi="Times New Roman" w:cs="Times New Roman"/>
          <w:b/>
          <w:sz w:val="24"/>
          <w:szCs w:val="24"/>
        </w:rPr>
      </w:pPr>
      <w:r w:rsidRPr="00B53764">
        <w:rPr>
          <w:rFonts w:ascii="Times New Roman" w:hAnsi="Times New Roman" w:cs="Times New Roman"/>
          <w:b/>
          <w:sz w:val="24"/>
          <w:szCs w:val="24"/>
        </w:rPr>
        <w:t>Culturally Competent Care</w:t>
      </w:r>
    </w:p>
    <w:p w:rsidR="00DE1ADA" w:rsidRPr="00B53764" w:rsidRDefault="00DE1ADA" w:rsidP="00B53764">
      <w:pPr>
        <w:spacing w:line="480" w:lineRule="auto"/>
        <w:ind w:firstLine="720"/>
        <w:rPr>
          <w:rFonts w:ascii="Times New Roman" w:hAnsi="Times New Roman" w:cs="Times New Roman"/>
          <w:sz w:val="24"/>
          <w:szCs w:val="24"/>
        </w:rPr>
      </w:pPr>
      <w:r w:rsidRPr="00B53764">
        <w:rPr>
          <w:rFonts w:ascii="Times New Roman" w:hAnsi="Times New Roman" w:cs="Times New Roman"/>
          <w:sz w:val="24"/>
          <w:szCs w:val="24"/>
        </w:rPr>
        <w:t>Culturally Competent Care is defined as one that can provide through its organizations and system an effective health care system that meets patients' cultura</w:t>
      </w:r>
      <w:r w:rsidR="00142EA0" w:rsidRPr="00B53764">
        <w:rPr>
          <w:rFonts w:ascii="Times New Roman" w:hAnsi="Times New Roman" w:cs="Times New Roman"/>
          <w:sz w:val="24"/>
          <w:szCs w:val="24"/>
        </w:rPr>
        <w:t xml:space="preserve">l, social, and linguistic </w:t>
      </w:r>
      <w:r w:rsidR="00142EA0" w:rsidRPr="00B53764">
        <w:rPr>
          <w:rFonts w:ascii="Times New Roman" w:hAnsi="Times New Roman" w:cs="Times New Roman"/>
          <w:sz w:val="24"/>
          <w:szCs w:val="24"/>
        </w:rPr>
        <w:lastRenderedPageBreak/>
        <w:t>needs (</w:t>
      </w:r>
      <w:r w:rsidR="00142EA0" w:rsidRPr="00B53764">
        <w:rPr>
          <w:rFonts w:ascii="Times New Roman" w:hAnsi="Times New Roman" w:cs="Times New Roman"/>
          <w:color w:val="222222"/>
          <w:sz w:val="24"/>
          <w:szCs w:val="24"/>
          <w:shd w:val="clear" w:color="auto" w:fill="FFFFFF"/>
        </w:rPr>
        <w:t>Young &amp;Guo, 2020).</w:t>
      </w:r>
      <w:r w:rsidRPr="00B53764">
        <w:rPr>
          <w:rFonts w:ascii="Times New Roman" w:hAnsi="Times New Roman" w:cs="Times New Roman"/>
          <w:sz w:val="24"/>
          <w:szCs w:val="24"/>
        </w:rPr>
        <w:t xml:space="preserve"> Culturally competent care can provide patient care regardless of patient's beliefs, behaviors and values because it is designed to meet diverse patient needs.  Cultural competence can be made easier by implementing strategies that move health care to goals, such as offering relevant training on cultural competence that cuts across all issues relevant to a health professional. It can also be made easier by creating policies that reduce existing barriers such as linguistics and admini</w:t>
      </w:r>
      <w:r w:rsidR="001806FB">
        <w:rPr>
          <w:rFonts w:ascii="Times New Roman" w:hAnsi="Times New Roman" w:cs="Times New Roman"/>
          <w:sz w:val="24"/>
          <w:szCs w:val="24"/>
        </w:rPr>
        <w:t xml:space="preserve">strative, limiting patient care </w:t>
      </w:r>
      <w:r w:rsidR="00142EA0" w:rsidRPr="00B53764">
        <w:rPr>
          <w:rFonts w:ascii="Times New Roman" w:hAnsi="Times New Roman" w:cs="Times New Roman"/>
          <w:sz w:val="24"/>
          <w:szCs w:val="24"/>
        </w:rPr>
        <w:t>(</w:t>
      </w:r>
      <w:r w:rsidR="00142EA0" w:rsidRPr="00B53764">
        <w:rPr>
          <w:rFonts w:ascii="Times New Roman" w:hAnsi="Times New Roman" w:cs="Times New Roman"/>
          <w:color w:val="222222"/>
          <w:sz w:val="24"/>
          <w:szCs w:val="24"/>
          <w:shd w:val="clear" w:color="auto" w:fill="FFFFFF"/>
        </w:rPr>
        <w:t>Young &amp;Guo, 2020).</w:t>
      </w: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B53764" w:rsidRDefault="00B53764" w:rsidP="00414723">
      <w:pPr>
        <w:spacing w:line="480" w:lineRule="auto"/>
        <w:rPr>
          <w:rFonts w:ascii="Times New Roman" w:hAnsi="Times New Roman" w:cs="Times New Roman"/>
          <w:b/>
          <w:sz w:val="24"/>
          <w:szCs w:val="24"/>
        </w:rPr>
      </w:pPr>
    </w:p>
    <w:p w:rsidR="00414723" w:rsidRDefault="00414723" w:rsidP="00414723">
      <w:pPr>
        <w:spacing w:line="480" w:lineRule="auto"/>
        <w:rPr>
          <w:rFonts w:ascii="Times New Roman" w:hAnsi="Times New Roman" w:cs="Times New Roman"/>
          <w:b/>
          <w:sz w:val="24"/>
          <w:szCs w:val="24"/>
        </w:rPr>
      </w:pPr>
    </w:p>
    <w:p w:rsidR="00B53764" w:rsidRDefault="00B53764" w:rsidP="00B53764">
      <w:pPr>
        <w:spacing w:line="480" w:lineRule="auto"/>
        <w:jc w:val="center"/>
        <w:rPr>
          <w:rFonts w:ascii="Times New Roman" w:hAnsi="Times New Roman" w:cs="Times New Roman"/>
          <w:b/>
          <w:sz w:val="24"/>
          <w:szCs w:val="24"/>
        </w:rPr>
      </w:pPr>
    </w:p>
    <w:p w:rsidR="00DE1ADA" w:rsidRPr="00B53764" w:rsidRDefault="00CA254D" w:rsidP="00B53764">
      <w:pPr>
        <w:spacing w:line="480" w:lineRule="auto"/>
        <w:jc w:val="center"/>
        <w:rPr>
          <w:rFonts w:ascii="Times New Roman" w:hAnsi="Times New Roman" w:cs="Times New Roman"/>
          <w:b/>
          <w:sz w:val="24"/>
          <w:szCs w:val="24"/>
        </w:rPr>
      </w:pPr>
      <w:r w:rsidRPr="00B53764">
        <w:rPr>
          <w:rFonts w:ascii="Times New Roman" w:hAnsi="Times New Roman" w:cs="Times New Roman"/>
          <w:b/>
          <w:sz w:val="24"/>
          <w:szCs w:val="24"/>
        </w:rPr>
        <w:lastRenderedPageBreak/>
        <w:t>References</w:t>
      </w:r>
    </w:p>
    <w:p w:rsidR="00B53764" w:rsidRPr="00B53764" w:rsidRDefault="00B53764" w:rsidP="00B53764">
      <w:pPr>
        <w:spacing w:line="480" w:lineRule="auto"/>
        <w:ind w:left="720" w:hanging="720"/>
        <w:rPr>
          <w:rFonts w:ascii="Times New Roman" w:hAnsi="Times New Roman" w:cs="Times New Roman"/>
          <w:color w:val="222222"/>
          <w:sz w:val="24"/>
          <w:szCs w:val="24"/>
          <w:shd w:val="clear" w:color="auto" w:fill="FFFFFF"/>
        </w:rPr>
      </w:pPr>
      <w:r w:rsidRPr="00B53764">
        <w:rPr>
          <w:rFonts w:ascii="Times New Roman" w:hAnsi="Times New Roman" w:cs="Times New Roman"/>
          <w:color w:val="222222"/>
          <w:sz w:val="24"/>
          <w:szCs w:val="24"/>
          <w:shd w:val="clear" w:color="auto" w:fill="FFFFFF"/>
        </w:rPr>
        <w:t>Akmal, A., &amp;Gauld, R. (2020). What components are important for effective healthcare alliance governance? Findings from a Modified Delphi study in New Zealand. </w:t>
      </w:r>
      <w:r w:rsidRPr="00B53764">
        <w:rPr>
          <w:rFonts w:ascii="Times New Roman" w:hAnsi="Times New Roman" w:cs="Times New Roman"/>
          <w:i/>
          <w:iCs/>
          <w:color w:val="222222"/>
          <w:sz w:val="24"/>
          <w:szCs w:val="24"/>
          <w:shd w:val="clear" w:color="auto" w:fill="FFFFFF"/>
        </w:rPr>
        <w:t>Health Policy</w:t>
      </w:r>
      <w:r w:rsidRPr="00B53764">
        <w:rPr>
          <w:rFonts w:ascii="Times New Roman" w:hAnsi="Times New Roman" w:cs="Times New Roman"/>
          <w:color w:val="222222"/>
          <w:sz w:val="24"/>
          <w:szCs w:val="24"/>
          <w:shd w:val="clear" w:color="auto" w:fill="FFFFFF"/>
        </w:rPr>
        <w:t>.</w:t>
      </w:r>
    </w:p>
    <w:p w:rsidR="00B53764" w:rsidRPr="00B53764" w:rsidRDefault="00B53764" w:rsidP="00B53764">
      <w:pPr>
        <w:spacing w:line="480" w:lineRule="auto"/>
        <w:ind w:left="720" w:hanging="720"/>
        <w:rPr>
          <w:rFonts w:ascii="Times New Roman" w:hAnsi="Times New Roman" w:cs="Times New Roman"/>
          <w:sz w:val="24"/>
          <w:szCs w:val="24"/>
        </w:rPr>
      </w:pPr>
      <w:r w:rsidRPr="00B53764">
        <w:rPr>
          <w:rFonts w:ascii="Times New Roman" w:hAnsi="Times New Roman" w:cs="Times New Roman"/>
          <w:color w:val="222222"/>
          <w:sz w:val="24"/>
          <w:szCs w:val="24"/>
          <w:shd w:val="clear" w:color="auto" w:fill="FFFFFF"/>
        </w:rPr>
        <w:t>Chin, M. H., King, P. T., Jones, R. G., Jones, B., Ameratunga, S. N., Muramatsu, N., &amp;Derrett, S. (2018). Lessons for achieving health equity comparing Aotearoa/New Zealand and the United States. </w:t>
      </w:r>
      <w:r w:rsidRPr="00B53764">
        <w:rPr>
          <w:rFonts w:ascii="Times New Roman" w:hAnsi="Times New Roman" w:cs="Times New Roman"/>
          <w:i/>
          <w:iCs/>
          <w:color w:val="222222"/>
          <w:sz w:val="24"/>
          <w:szCs w:val="24"/>
          <w:shd w:val="clear" w:color="auto" w:fill="FFFFFF"/>
        </w:rPr>
        <w:t>Health Policy</w:t>
      </w:r>
      <w:r w:rsidRPr="00B53764">
        <w:rPr>
          <w:rFonts w:ascii="Times New Roman" w:hAnsi="Times New Roman" w:cs="Times New Roman"/>
          <w:color w:val="222222"/>
          <w:sz w:val="24"/>
          <w:szCs w:val="24"/>
          <w:shd w:val="clear" w:color="auto" w:fill="FFFFFF"/>
        </w:rPr>
        <w:t>, </w:t>
      </w:r>
      <w:r w:rsidRPr="00B53764">
        <w:rPr>
          <w:rFonts w:ascii="Times New Roman" w:hAnsi="Times New Roman" w:cs="Times New Roman"/>
          <w:i/>
          <w:iCs/>
          <w:color w:val="222222"/>
          <w:sz w:val="24"/>
          <w:szCs w:val="24"/>
          <w:shd w:val="clear" w:color="auto" w:fill="FFFFFF"/>
        </w:rPr>
        <w:t>122</w:t>
      </w:r>
      <w:r w:rsidRPr="00B53764">
        <w:rPr>
          <w:rFonts w:ascii="Times New Roman" w:hAnsi="Times New Roman" w:cs="Times New Roman"/>
          <w:color w:val="222222"/>
          <w:sz w:val="24"/>
          <w:szCs w:val="24"/>
          <w:shd w:val="clear" w:color="auto" w:fill="FFFFFF"/>
        </w:rPr>
        <w:t>(8), 837-853.</w:t>
      </w:r>
    </w:p>
    <w:p w:rsidR="00B53764" w:rsidRPr="00B53764" w:rsidRDefault="00B53764" w:rsidP="00B53764">
      <w:pPr>
        <w:spacing w:line="480" w:lineRule="auto"/>
        <w:ind w:left="720" w:hanging="720"/>
        <w:rPr>
          <w:rFonts w:ascii="Times New Roman" w:hAnsi="Times New Roman" w:cs="Times New Roman"/>
          <w:color w:val="222222"/>
          <w:sz w:val="24"/>
          <w:szCs w:val="24"/>
          <w:shd w:val="clear" w:color="auto" w:fill="FFFFFF"/>
        </w:rPr>
      </w:pPr>
      <w:r w:rsidRPr="00B53764">
        <w:rPr>
          <w:rFonts w:ascii="Times New Roman" w:hAnsi="Times New Roman" w:cs="Times New Roman"/>
          <w:color w:val="222222"/>
          <w:sz w:val="24"/>
          <w:szCs w:val="24"/>
          <w:shd w:val="clear" w:color="auto" w:fill="FFFFFF"/>
        </w:rPr>
        <w:t>Greaves, L. M., Barlow, F. K., Huang, Y., Stronge, S., Fraser, G., &amp; Sibley, C. G. (2017). Asexual identity in a New Zealand national sample: Demographics, well-being, and health. </w:t>
      </w:r>
      <w:r w:rsidRPr="00B53764">
        <w:rPr>
          <w:rFonts w:ascii="Times New Roman" w:hAnsi="Times New Roman" w:cs="Times New Roman"/>
          <w:i/>
          <w:iCs/>
          <w:color w:val="222222"/>
          <w:sz w:val="24"/>
          <w:szCs w:val="24"/>
          <w:shd w:val="clear" w:color="auto" w:fill="FFFFFF"/>
        </w:rPr>
        <w:t>Archives of Sexual Behavior</w:t>
      </w:r>
      <w:r w:rsidRPr="00B53764">
        <w:rPr>
          <w:rFonts w:ascii="Times New Roman" w:hAnsi="Times New Roman" w:cs="Times New Roman"/>
          <w:color w:val="222222"/>
          <w:sz w:val="24"/>
          <w:szCs w:val="24"/>
          <w:shd w:val="clear" w:color="auto" w:fill="FFFFFF"/>
        </w:rPr>
        <w:t>, </w:t>
      </w:r>
      <w:r w:rsidRPr="00B53764">
        <w:rPr>
          <w:rFonts w:ascii="Times New Roman" w:hAnsi="Times New Roman" w:cs="Times New Roman"/>
          <w:i/>
          <w:iCs/>
          <w:color w:val="222222"/>
          <w:sz w:val="24"/>
          <w:szCs w:val="24"/>
          <w:shd w:val="clear" w:color="auto" w:fill="FFFFFF"/>
        </w:rPr>
        <w:t>46</w:t>
      </w:r>
      <w:r w:rsidRPr="00B53764">
        <w:rPr>
          <w:rFonts w:ascii="Times New Roman" w:hAnsi="Times New Roman" w:cs="Times New Roman"/>
          <w:color w:val="222222"/>
          <w:sz w:val="24"/>
          <w:szCs w:val="24"/>
          <w:shd w:val="clear" w:color="auto" w:fill="FFFFFF"/>
        </w:rPr>
        <w:t>(8), 2417-2427.</w:t>
      </w:r>
    </w:p>
    <w:p w:rsidR="00B53764" w:rsidRPr="00B53764" w:rsidRDefault="00B53764" w:rsidP="00B53764">
      <w:pPr>
        <w:spacing w:line="480" w:lineRule="auto"/>
        <w:ind w:left="720" w:hanging="720"/>
        <w:rPr>
          <w:rFonts w:ascii="Times New Roman" w:hAnsi="Times New Roman" w:cs="Times New Roman"/>
          <w:color w:val="222222"/>
          <w:sz w:val="24"/>
          <w:szCs w:val="24"/>
          <w:shd w:val="clear" w:color="auto" w:fill="FFFFFF"/>
        </w:rPr>
      </w:pPr>
      <w:r w:rsidRPr="00B53764">
        <w:rPr>
          <w:rFonts w:ascii="Times New Roman" w:hAnsi="Times New Roman" w:cs="Times New Roman"/>
          <w:color w:val="222222"/>
          <w:sz w:val="24"/>
          <w:szCs w:val="24"/>
          <w:shd w:val="clear" w:color="auto" w:fill="FFFFFF"/>
        </w:rPr>
        <w:t>Stokes, T., Atmore, C., Penno, E., Richard, L., Wyeth, E., Richards, R., ...&amp;Gauld, R. (2019). Protocol for a mixed methods realist evaluation of regional District Health Board groupings in New Zealand. </w:t>
      </w:r>
      <w:r w:rsidRPr="00B53764">
        <w:rPr>
          <w:rFonts w:ascii="Times New Roman" w:hAnsi="Times New Roman" w:cs="Times New Roman"/>
          <w:i/>
          <w:iCs/>
          <w:color w:val="222222"/>
          <w:sz w:val="24"/>
          <w:szCs w:val="24"/>
          <w:shd w:val="clear" w:color="auto" w:fill="FFFFFF"/>
        </w:rPr>
        <w:t>BMJ open</w:t>
      </w:r>
      <w:r w:rsidRPr="00B53764">
        <w:rPr>
          <w:rFonts w:ascii="Times New Roman" w:hAnsi="Times New Roman" w:cs="Times New Roman"/>
          <w:color w:val="222222"/>
          <w:sz w:val="24"/>
          <w:szCs w:val="24"/>
          <w:shd w:val="clear" w:color="auto" w:fill="FFFFFF"/>
        </w:rPr>
        <w:t>, </w:t>
      </w:r>
      <w:r w:rsidRPr="00B53764">
        <w:rPr>
          <w:rFonts w:ascii="Times New Roman" w:hAnsi="Times New Roman" w:cs="Times New Roman"/>
          <w:i/>
          <w:iCs/>
          <w:color w:val="222222"/>
          <w:sz w:val="24"/>
          <w:szCs w:val="24"/>
          <w:shd w:val="clear" w:color="auto" w:fill="FFFFFF"/>
        </w:rPr>
        <w:t>9</w:t>
      </w:r>
      <w:r w:rsidRPr="00B53764">
        <w:rPr>
          <w:rFonts w:ascii="Times New Roman" w:hAnsi="Times New Roman" w:cs="Times New Roman"/>
          <w:color w:val="222222"/>
          <w:sz w:val="24"/>
          <w:szCs w:val="24"/>
          <w:shd w:val="clear" w:color="auto" w:fill="FFFFFF"/>
        </w:rPr>
        <w:t>(3), e030076.</w:t>
      </w:r>
    </w:p>
    <w:p w:rsidR="00B53764" w:rsidRPr="00B53764" w:rsidRDefault="00B53764" w:rsidP="00B53764">
      <w:pPr>
        <w:spacing w:line="480" w:lineRule="auto"/>
        <w:ind w:left="720" w:hanging="720"/>
        <w:rPr>
          <w:rFonts w:ascii="Times New Roman" w:hAnsi="Times New Roman" w:cs="Times New Roman"/>
          <w:color w:val="222222"/>
          <w:sz w:val="24"/>
          <w:szCs w:val="24"/>
          <w:shd w:val="clear" w:color="auto" w:fill="FFFFFF"/>
        </w:rPr>
      </w:pPr>
      <w:r w:rsidRPr="00B53764">
        <w:rPr>
          <w:rFonts w:ascii="Times New Roman" w:hAnsi="Times New Roman" w:cs="Times New Roman"/>
          <w:color w:val="222222"/>
          <w:sz w:val="24"/>
          <w:szCs w:val="24"/>
          <w:shd w:val="clear" w:color="auto" w:fill="FFFFFF"/>
        </w:rPr>
        <w:t>Young, S., &amp;Guo, K. L. (2020). Cultural diversity training: the necessity of cultural competence for health care providers and in nursing practice. </w:t>
      </w:r>
      <w:r w:rsidRPr="00B53764">
        <w:rPr>
          <w:rFonts w:ascii="Times New Roman" w:hAnsi="Times New Roman" w:cs="Times New Roman"/>
          <w:i/>
          <w:iCs/>
          <w:color w:val="222222"/>
          <w:sz w:val="24"/>
          <w:szCs w:val="24"/>
          <w:shd w:val="clear" w:color="auto" w:fill="FFFFFF"/>
        </w:rPr>
        <w:t>The health care manager</w:t>
      </w:r>
      <w:r w:rsidRPr="00B53764">
        <w:rPr>
          <w:rFonts w:ascii="Times New Roman" w:hAnsi="Times New Roman" w:cs="Times New Roman"/>
          <w:color w:val="222222"/>
          <w:sz w:val="24"/>
          <w:szCs w:val="24"/>
          <w:shd w:val="clear" w:color="auto" w:fill="FFFFFF"/>
        </w:rPr>
        <w:t>, </w:t>
      </w:r>
      <w:r w:rsidRPr="00B53764">
        <w:rPr>
          <w:rFonts w:ascii="Times New Roman" w:hAnsi="Times New Roman" w:cs="Times New Roman"/>
          <w:i/>
          <w:iCs/>
          <w:color w:val="222222"/>
          <w:sz w:val="24"/>
          <w:szCs w:val="24"/>
          <w:shd w:val="clear" w:color="auto" w:fill="FFFFFF"/>
        </w:rPr>
        <w:t>39</w:t>
      </w:r>
      <w:r w:rsidRPr="00B53764">
        <w:rPr>
          <w:rFonts w:ascii="Times New Roman" w:hAnsi="Times New Roman" w:cs="Times New Roman"/>
          <w:color w:val="222222"/>
          <w:sz w:val="24"/>
          <w:szCs w:val="24"/>
          <w:shd w:val="clear" w:color="auto" w:fill="FFFFFF"/>
        </w:rPr>
        <w:t>(2), 100-108.</w:t>
      </w:r>
    </w:p>
    <w:p w:rsidR="00DA3F49" w:rsidRPr="00B53764" w:rsidRDefault="00DA3F49" w:rsidP="00B53764">
      <w:pPr>
        <w:spacing w:line="480" w:lineRule="auto"/>
        <w:rPr>
          <w:rFonts w:ascii="Times New Roman" w:hAnsi="Times New Roman" w:cs="Times New Roman"/>
          <w:sz w:val="24"/>
          <w:szCs w:val="24"/>
        </w:rPr>
      </w:pPr>
    </w:p>
    <w:sectPr w:rsidR="00DA3F49" w:rsidRPr="00B53764" w:rsidSect="008C743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E99" w:rsidRDefault="00CD5E99" w:rsidP="00414723">
      <w:pPr>
        <w:spacing w:after="0" w:line="240" w:lineRule="auto"/>
      </w:pPr>
      <w:r>
        <w:separator/>
      </w:r>
    </w:p>
  </w:endnote>
  <w:endnote w:type="continuationSeparator" w:id="1">
    <w:p w:rsidR="00CD5E99" w:rsidRDefault="00CD5E99" w:rsidP="004147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E99" w:rsidRDefault="00CD5E99" w:rsidP="00414723">
      <w:pPr>
        <w:spacing w:after="0" w:line="240" w:lineRule="auto"/>
      </w:pPr>
      <w:r>
        <w:separator/>
      </w:r>
    </w:p>
  </w:footnote>
  <w:footnote w:type="continuationSeparator" w:id="1">
    <w:p w:rsidR="00CD5E99" w:rsidRDefault="00CD5E99" w:rsidP="004147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23" w:rsidRPr="00414723" w:rsidRDefault="00414723">
    <w:pPr>
      <w:pStyle w:val="Header"/>
      <w:rPr>
        <w:rFonts w:ascii="Times New Roman" w:hAnsi="Times New Roman" w:cs="Times New Roman"/>
        <w:sz w:val="24"/>
        <w:szCs w:val="24"/>
      </w:rPr>
    </w:pPr>
    <w:r>
      <w:tab/>
    </w:r>
    <w:r>
      <w:tab/>
    </w:r>
    <w:r w:rsidR="00415BBE" w:rsidRPr="00414723">
      <w:rPr>
        <w:rFonts w:ascii="Times New Roman" w:hAnsi="Times New Roman" w:cs="Times New Roman"/>
        <w:sz w:val="24"/>
        <w:szCs w:val="24"/>
      </w:rPr>
      <w:fldChar w:fldCharType="begin"/>
    </w:r>
    <w:r w:rsidRPr="00414723">
      <w:rPr>
        <w:rFonts w:ascii="Times New Roman" w:hAnsi="Times New Roman" w:cs="Times New Roman"/>
        <w:sz w:val="24"/>
        <w:szCs w:val="24"/>
      </w:rPr>
      <w:instrText xml:space="preserve"> PAGE   \* MERGEFORMAT </w:instrText>
    </w:r>
    <w:r w:rsidR="00415BBE" w:rsidRPr="00414723">
      <w:rPr>
        <w:rFonts w:ascii="Times New Roman" w:hAnsi="Times New Roman" w:cs="Times New Roman"/>
        <w:sz w:val="24"/>
        <w:szCs w:val="24"/>
      </w:rPr>
      <w:fldChar w:fldCharType="separate"/>
    </w:r>
    <w:r w:rsidR="00660210">
      <w:rPr>
        <w:rFonts w:ascii="Times New Roman" w:hAnsi="Times New Roman" w:cs="Times New Roman"/>
        <w:noProof/>
        <w:sz w:val="24"/>
        <w:szCs w:val="24"/>
      </w:rPr>
      <w:t>1</w:t>
    </w:r>
    <w:r w:rsidR="00415BBE" w:rsidRPr="0041472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73B1"/>
    <w:rsid w:val="00142EA0"/>
    <w:rsid w:val="001806FB"/>
    <w:rsid w:val="00244FF7"/>
    <w:rsid w:val="002C6E90"/>
    <w:rsid w:val="002E4A8D"/>
    <w:rsid w:val="00335754"/>
    <w:rsid w:val="003B7A51"/>
    <w:rsid w:val="004001CE"/>
    <w:rsid w:val="00414723"/>
    <w:rsid w:val="00415BBE"/>
    <w:rsid w:val="004A525A"/>
    <w:rsid w:val="004B02D5"/>
    <w:rsid w:val="004D7BF4"/>
    <w:rsid w:val="00564FFB"/>
    <w:rsid w:val="005C15C1"/>
    <w:rsid w:val="005F064B"/>
    <w:rsid w:val="00621022"/>
    <w:rsid w:val="00660210"/>
    <w:rsid w:val="006B5995"/>
    <w:rsid w:val="00722026"/>
    <w:rsid w:val="00734DDA"/>
    <w:rsid w:val="0077052B"/>
    <w:rsid w:val="00795305"/>
    <w:rsid w:val="007E503C"/>
    <w:rsid w:val="007F2874"/>
    <w:rsid w:val="008C7438"/>
    <w:rsid w:val="008D5697"/>
    <w:rsid w:val="008F1F07"/>
    <w:rsid w:val="009057E3"/>
    <w:rsid w:val="0095042B"/>
    <w:rsid w:val="009600EC"/>
    <w:rsid w:val="00995227"/>
    <w:rsid w:val="009A128F"/>
    <w:rsid w:val="00AC73B1"/>
    <w:rsid w:val="00AD044D"/>
    <w:rsid w:val="00B438CF"/>
    <w:rsid w:val="00B53764"/>
    <w:rsid w:val="00C13E21"/>
    <w:rsid w:val="00C6489B"/>
    <w:rsid w:val="00C8224E"/>
    <w:rsid w:val="00CA254D"/>
    <w:rsid w:val="00CD4B92"/>
    <w:rsid w:val="00CD5E99"/>
    <w:rsid w:val="00D703E3"/>
    <w:rsid w:val="00D77364"/>
    <w:rsid w:val="00DA3F49"/>
    <w:rsid w:val="00DC4EA2"/>
    <w:rsid w:val="00DE1ADA"/>
    <w:rsid w:val="00DF5FAE"/>
    <w:rsid w:val="00E1158F"/>
    <w:rsid w:val="00E45E70"/>
    <w:rsid w:val="00E724F5"/>
    <w:rsid w:val="00E970BA"/>
    <w:rsid w:val="00FB45E6"/>
    <w:rsid w:val="00FC0AE5"/>
    <w:rsid w:val="00FC55AE"/>
    <w:rsid w:val="00FE4D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723"/>
  </w:style>
  <w:style w:type="paragraph" w:styleId="Footer">
    <w:name w:val="footer"/>
    <w:basedOn w:val="Normal"/>
    <w:link w:val="FooterChar"/>
    <w:uiPriority w:val="99"/>
    <w:unhideWhenUsed/>
    <w:rsid w:val="00414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723"/>
  </w:style>
</w:styles>
</file>

<file path=word/webSettings.xml><?xml version="1.0" encoding="utf-8"?>
<w:webSettings xmlns:r="http://schemas.openxmlformats.org/officeDocument/2006/relationships" xmlns:w="http://schemas.openxmlformats.org/wordprocessingml/2006/main">
  <w:divs>
    <w:div w:id="142534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2021-02-04T17:33:00Z</dcterms:created>
  <dcterms:modified xsi:type="dcterms:W3CDTF">2021-02-04T17:33:00Z</dcterms:modified>
</cp:coreProperties>
</file>