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2D0" w:rsidRDefault="005862D0" w:rsidP="005862D0">
      <w:pPr>
        <w:spacing w:after="0" w:line="480" w:lineRule="auto"/>
        <w:jc w:val="center"/>
        <w:rPr>
          <w:rFonts w:ascii="Times New Roman" w:hAnsi="Times New Roman" w:cs="Times New Roman"/>
          <w:sz w:val="24"/>
          <w:szCs w:val="24"/>
        </w:rPr>
      </w:pPr>
      <w:bookmarkStart w:id="0" w:name="_GoBack"/>
      <w:bookmarkEnd w:id="0"/>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F85619" w:rsidRDefault="00F85619" w:rsidP="005862D0">
      <w:pPr>
        <w:spacing w:after="0" w:line="480" w:lineRule="auto"/>
        <w:jc w:val="center"/>
        <w:rPr>
          <w:rFonts w:ascii="Times New Roman" w:hAnsi="Times New Roman" w:cs="Times New Roman"/>
          <w:sz w:val="24"/>
          <w:szCs w:val="24"/>
        </w:rPr>
      </w:pPr>
    </w:p>
    <w:p w:rsidR="00F85619" w:rsidRDefault="00F85619" w:rsidP="005862D0">
      <w:pPr>
        <w:spacing w:after="0" w:line="480" w:lineRule="auto"/>
        <w:jc w:val="center"/>
        <w:rPr>
          <w:rFonts w:ascii="Times New Roman" w:hAnsi="Times New Roman" w:cs="Times New Roman"/>
          <w:sz w:val="24"/>
          <w:szCs w:val="24"/>
        </w:rPr>
      </w:pPr>
    </w:p>
    <w:p w:rsidR="005862D0" w:rsidRDefault="00977AE3"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Property Taxes o</w:t>
      </w:r>
      <w:r w:rsidR="00AD7507">
        <w:rPr>
          <w:rFonts w:ascii="Times New Roman" w:hAnsi="Times New Roman" w:cs="Times New Roman"/>
          <w:sz w:val="24"/>
          <w:szCs w:val="24"/>
        </w:rPr>
        <w:t>f</w:t>
      </w:r>
      <w:r>
        <w:rPr>
          <w:rFonts w:ascii="Times New Roman" w:hAnsi="Times New Roman" w:cs="Times New Roman"/>
          <w:sz w:val="24"/>
          <w:szCs w:val="24"/>
        </w:rPr>
        <w:t xml:space="preserve"> </w:t>
      </w:r>
      <w:r w:rsidR="00AD7507">
        <w:rPr>
          <w:rFonts w:ascii="Times New Roman" w:hAnsi="Times New Roman" w:cs="Times New Roman"/>
          <w:sz w:val="24"/>
          <w:szCs w:val="24"/>
        </w:rPr>
        <w:t>F</w:t>
      </w:r>
      <w:r>
        <w:rPr>
          <w:rFonts w:ascii="Times New Roman" w:hAnsi="Times New Roman" w:cs="Times New Roman"/>
          <w:sz w:val="24"/>
          <w:szCs w:val="24"/>
        </w:rPr>
        <w:t>ive Areas in the East Coast</w:t>
      </w:r>
    </w:p>
    <w:p w:rsidR="005862D0" w:rsidRDefault="00977AE3"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62D0" w:rsidRDefault="00977AE3"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62D0" w:rsidRDefault="005862D0" w:rsidP="005862D0">
      <w:pPr>
        <w:spacing w:after="0" w:line="480" w:lineRule="auto"/>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F85619" w:rsidRDefault="00F85619" w:rsidP="00F85619">
      <w:pPr>
        <w:spacing w:after="0" w:line="480" w:lineRule="auto"/>
        <w:rPr>
          <w:rFonts w:ascii="Times New Roman" w:hAnsi="Times New Roman" w:cs="Times New Roman"/>
          <w:sz w:val="24"/>
          <w:szCs w:val="24"/>
        </w:rPr>
      </w:pPr>
    </w:p>
    <w:p w:rsidR="00F91450" w:rsidRDefault="00996B12" w:rsidP="00F856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Property Taxes of</w:t>
      </w:r>
      <w:r w:rsidR="00977AE3">
        <w:rPr>
          <w:rFonts w:ascii="Times New Roman" w:hAnsi="Times New Roman" w:cs="Times New Roman"/>
          <w:sz w:val="24"/>
          <w:szCs w:val="24"/>
        </w:rPr>
        <w:t xml:space="preserve"> five Areas in the East Coa</w:t>
      </w:r>
      <w:r w:rsidR="005862D0">
        <w:rPr>
          <w:rFonts w:ascii="Times New Roman" w:hAnsi="Times New Roman" w:cs="Times New Roman"/>
          <w:sz w:val="24"/>
          <w:szCs w:val="24"/>
        </w:rPr>
        <w:t>st</w:t>
      </w:r>
    </w:p>
    <w:p w:rsidR="00F91450" w:rsidRPr="00F91450" w:rsidRDefault="00977AE3" w:rsidP="00F91450">
      <w:pPr>
        <w:spacing w:after="0" w:line="480" w:lineRule="auto"/>
        <w:jc w:val="center"/>
        <w:rPr>
          <w:rFonts w:ascii="Times New Roman" w:hAnsi="Times New Roman" w:cs="Times New Roman"/>
          <w:b/>
          <w:sz w:val="24"/>
          <w:szCs w:val="24"/>
        </w:rPr>
      </w:pPr>
      <w:r w:rsidRPr="00F91450">
        <w:rPr>
          <w:rFonts w:ascii="Times New Roman" w:hAnsi="Times New Roman" w:cs="Times New Roman"/>
          <w:b/>
          <w:sz w:val="24"/>
          <w:szCs w:val="24"/>
        </w:rPr>
        <w:t>Introduction</w:t>
      </w:r>
    </w:p>
    <w:p w:rsidR="00660122" w:rsidRDefault="00977AE3" w:rsidP="00F914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property tax </w:t>
      </w:r>
      <w:r w:rsidR="001364DE">
        <w:rPr>
          <w:rFonts w:ascii="Times New Roman" w:hAnsi="Times New Roman" w:cs="Times New Roman"/>
          <w:sz w:val="24"/>
          <w:szCs w:val="24"/>
        </w:rPr>
        <w:t>c</w:t>
      </w:r>
      <w:r>
        <w:rPr>
          <w:rFonts w:ascii="Times New Roman" w:hAnsi="Times New Roman" w:cs="Times New Roman"/>
          <w:sz w:val="24"/>
          <w:szCs w:val="24"/>
        </w:rPr>
        <w:t xml:space="preserve">ontributes the most significant revenue for the local governments, and it is an essential factor for the municipalities in their manipulation of the urban landscape and the distribution of wealth and income to the local communities and sates. This essay will focus on five different areas on the East Coast that have various property Taxes and how these taxes affect the districts in that area. </w:t>
      </w:r>
      <w:r w:rsidR="00BA0472">
        <w:rPr>
          <w:rFonts w:ascii="Times New Roman" w:hAnsi="Times New Roman" w:cs="Times New Roman"/>
          <w:sz w:val="24"/>
          <w:szCs w:val="24"/>
        </w:rPr>
        <w:t>The</w:t>
      </w:r>
      <w:r>
        <w:rPr>
          <w:rFonts w:ascii="Times New Roman" w:hAnsi="Times New Roman" w:cs="Times New Roman"/>
          <w:sz w:val="24"/>
          <w:szCs w:val="24"/>
        </w:rPr>
        <w:t xml:space="preserve"> areas </w:t>
      </w:r>
      <w:r w:rsidR="00D82711">
        <w:rPr>
          <w:rFonts w:ascii="Times New Roman" w:hAnsi="Times New Roman" w:cs="Times New Roman"/>
          <w:sz w:val="24"/>
          <w:szCs w:val="24"/>
        </w:rPr>
        <w:t>discussed in the essay are</w:t>
      </w:r>
      <w:r w:rsidR="00CD6B31">
        <w:rPr>
          <w:rFonts w:ascii="Times New Roman" w:hAnsi="Times New Roman" w:cs="Times New Roman"/>
          <w:sz w:val="24"/>
          <w:szCs w:val="24"/>
        </w:rPr>
        <w:t xml:space="preserve"> </w:t>
      </w:r>
      <w:r w:rsidR="00BA0472">
        <w:rPr>
          <w:rFonts w:ascii="Times New Roman" w:hAnsi="Times New Roman" w:cs="Times New Roman"/>
          <w:sz w:val="24"/>
          <w:szCs w:val="24"/>
        </w:rPr>
        <w:t>Pennsylvania,</w:t>
      </w:r>
      <w:r w:rsidR="00CD6B31">
        <w:rPr>
          <w:rFonts w:ascii="Times New Roman" w:hAnsi="Times New Roman" w:cs="Times New Roman"/>
          <w:sz w:val="24"/>
          <w:szCs w:val="24"/>
        </w:rPr>
        <w:t xml:space="preserve"> Georgia, New Jersey</w:t>
      </w:r>
      <w:r w:rsidR="00FC7CC4">
        <w:rPr>
          <w:rFonts w:ascii="Times New Roman" w:hAnsi="Times New Roman" w:cs="Times New Roman"/>
          <w:sz w:val="24"/>
          <w:szCs w:val="24"/>
        </w:rPr>
        <w:t xml:space="preserve">, South Carolina, and New York. </w:t>
      </w:r>
    </w:p>
    <w:p w:rsidR="00BA0472" w:rsidRPr="00F86B33" w:rsidRDefault="00977AE3" w:rsidP="00F90DFF">
      <w:pPr>
        <w:spacing w:after="0" w:line="480" w:lineRule="auto"/>
        <w:jc w:val="center"/>
        <w:rPr>
          <w:rFonts w:ascii="Times New Roman" w:hAnsi="Times New Roman" w:cs="Times New Roman"/>
          <w:b/>
          <w:sz w:val="24"/>
          <w:szCs w:val="24"/>
        </w:rPr>
      </w:pPr>
      <w:r w:rsidRPr="00F86B33">
        <w:rPr>
          <w:rFonts w:ascii="Times New Roman" w:hAnsi="Times New Roman" w:cs="Times New Roman"/>
          <w:b/>
          <w:sz w:val="24"/>
          <w:szCs w:val="24"/>
        </w:rPr>
        <w:t>Property Taxes in Pennsylvania</w:t>
      </w:r>
    </w:p>
    <w:p w:rsidR="005450B1" w:rsidRDefault="00977AE3"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Pennsylvania, property taxes are collected by the counties and local municipalities to cover education services. However, in Pennsylvania, the property taxes are different in all the counties. Every county has developed its system that they use to assess property tax. The determinants of the property tax rates are the municipalities, the counties, and the school districts. </w:t>
      </w:r>
      <w:r w:rsidR="00410B9D">
        <w:rPr>
          <w:rFonts w:ascii="Times New Roman" w:hAnsi="Times New Roman" w:cs="Times New Roman"/>
          <w:sz w:val="24"/>
          <w:szCs w:val="24"/>
        </w:rPr>
        <w:t xml:space="preserve">The average tax rate in Pennsylvania is 1.58%. However, the counties have a variation of 0.90% and a high one of 2.47% on this tax rate. The local </w:t>
      </w:r>
      <w:r w:rsidR="00C8343E">
        <w:rPr>
          <w:rFonts w:ascii="Times New Roman" w:hAnsi="Times New Roman" w:cs="Times New Roman"/>
          <w:sz w:val="24"/>
          <w:szCs w:val="24"/>
        </w:rPr>
        <w:t>authority in Pennsylvania determines</w:t>
      </w:r>
      <w:r w:rsidR="00410B9D">
        <w:rPr>
          <w:rFonts w:ascii="Times New Roman" w:hAnsi="Times New Roman" w:cs="Times New Roman"/>
          <w:sz w:val="24"/>
          <w:szCs w:val="24"/>
        </w:rPr>
        <w:t xml:space="preserve"> the tax rate based on </w:t>
      </w:r>
      <w:r w:rsidR="00C8343E">
        <w:rPr>
          <w:rFonts w:ascii="Times New Roman" w:hAnsi="Times New Roman" w:cs="Times New Roman"/>
          <w:sz w:val="24"/>
          <w:szCs w:val="24"/>
        </w:rPr>
        <w:t>their revenue needs. The tax rates are known as mills, whereby one mill is equal to $1 of property tax for every $1000 in assessed value.</w:t>
      </w:r>
    </w:p>
    <w:p w:rsidR="004C3DF2" w:rsidRDefault="00977AE3"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county of Philadelphia in Pennsylvania has the third lowest property tax rate in the state. The county has a 0.98% effective property tax rate, which is different from the state's rate of 1.5%. The Philadelphia tax structure has changed, such as in the real estate tax due to the implementation of the Actual Value </w:t>
      </w:r>
      <w:r w:rsidR="006B39EC">
        <w:rPr>
          <w:rFonts w:ascii="Times New Roman" w:hAnsi="Times New Roman" w:cs="Times New Roman"/>
          <w:sz w:val="24"/>
          <w:szCs w:val="24"/>
        </w:rPr>
        <w:t>Initiative</w:t>
      </w:r>
      <w:r>
        <w:rPr>
          <w:rFonts w:ascii="Times New Roman" w:hAnsi="Times New Roman" w:cs="Times New Roman"/>
          <w:sz w:val="24"/>
          <w:szCs w:val="24"/>
        </w:rPr>
        <w:t xml:space="preserve"> (AVI)</w:t>
      </w:r>
      <w:r w:rsidR="006B39EC">
        <w:rPr>
          <w:rFonts w:ascii="Times New Roman" w:hAnsi="Times New Roman" w:cs="Times New Roman"/>
          <w:sz w:val="24"/>
          <w:szCs w:val="24"/>
        </w:rPr>
        <w:t>, an overhaul of the property assessment system (</w:t>
      </w:r>
      <w:r w:rsidR="008F3D70">
        <w:rPr>
          <w:rFonts w:ascii="Times New Roman" w:hAnsi="Times New Roman" w:cs="Times New Roman"/>
          <w:sz w:val="24"/>
          <w:szCs w:val="24"/>
        </w:rPr>
        <w:t>Carroll, &amp; MacDonald, 2018</w:t>
      </w:r>
      <w:r w:rsidR="006B39EC">
        <w:rPr>
          <w:rFonts w:ascii="Times New Roman" w:hAnsi="Times New Roman" w:cs="Times New Roman"/>
          <w:sz w:val="24"/>
          <w:szCs w:val="24"/>
        </w:rPr>
        <w:t>)</w:t>
      </w:r>
      <w:r>
        <w:rPr>
          <w:rFonts w:ascii="Times New Roman" w:hAnsi="Times New Roman" w:cs="Times New Roman"/>
          <w:sz w:val="24"/>
          <w:szCs w:val="24"/>
        </w:rPr>
        <w:t xml:space="preserve">. </w:t>
      </w:r>
      <w:r w:rsidR="006B39EC">
        <w:rPr>
          <w:rFonts w:ascii="Times New Roman" w:hAnsi="Times New Roman" w:cs="Times New Roman"/>
          <w:sz w:val="24"/>
          <w:szCs w:val="24"/>
        </w:rPr>
        <w:t xml:space="preserve">The </w:t>
      </w:r>
      <w:r>
        <w:rPr>
          <w:rFonts w:ascii="Times New Roman" w:hAnsi="Times New Roman" w:cs="Times New Roman"/>
          <w:sz w:val="24"/>
          <w:szCs w:val="24"/>
        </w:rPr>
        <w:t xml:space="preserve">AVI </w:t>
      </w:r>
      <w:r w:rsidR="006B39EC">
        <w:rPr>
          <w:rFonts w:ascii="Times New Roman" w:hAnsi="Times New Roman" w:cs="Times New Roman"/>
          <w:sz w:val="24"/>
          <w:szCs w:val="24"/>
        </w:rPr>
        <w:t xml:space="preserve">aimed </w:t>
      </w:r>
      <w:r>
        <w:rPr>
          <w:rFonts w:ascii="Times New Roman" w:hAnsi="Times New Roman" w:cs="Times New Roman"/>
          <w:sz w:val="24"/>
          <w:szCs w:val="24"/>
        </w:rPr>
        <w:t xml:space="preserve">to </w:t>
      </w:r>
      <w:r w:rsidR="006B39EC">
        <w:rPr>
          <w:rFonts w:ascii="Times New Roman" w:hAnsi="Times New Roman" w:cs="Times New Roman"/>
          <w:sz w:val="24"/>
          <w:szCs w:val="24"/>
        </w:rPr>
        <w:t xml:space="preserve">rectify the inequity in Philadelphia’s property assessment system. The AIV would rectify this inequity by assessing the property per </w:t>
      </w:r>
      <w:r w:rsidR="006B39EC">
        <w:rPr>
          <w:rFonts w:ascii="Times New Roman" w:hAnsi="Times New Roman" w:cs="Times New Roman"/>
          <w:sz w:val="24"/>
          <w:szCs w:val="24"/>
        </w:rPr>
        <w:lastRenderedPageBreak/>
        <w:t>their actual value. The property tax in Philadelphia is 1.39998% of assessed value, of which 0.6317% goes to the city's general fund, and 0.7681% goes to the school district.</w:t>
      </w:r>
    </w:p>
    <w:p w:rsidR="00EB5612" w:rsidRDefault="00977AE3"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last 16 years, property taxes have grown in most of eastern Pennsylvania. The tax rates have increased at an annual average of 4.8%, while in the western parts of Pennsylvania, only half of the states have grown in their tax rates with an average of 3.1%. </w:t>
      </w:r>
      <w:r w:rsidR="001A761D">
        <w:rPr>
          <w:rFonts w:ascii="Times New Roman" w:hAnsi="Times New Roman" w:cs="Times New Roman"/>
          <w:sz w:val="24"/>
          <w:szCs w:val="24"/>
        </w:rPr>
        <w:t>In Pennsylvania, boosting spending for education has been faced with challenges due to the lack of a legislature majority in support of raising new state revenues (</w:t>
      </w:r>
      <w:r w:rsidR="008F3D70">
        <w:rPr>
          <w:rFonts w:ascii="Times New Roman" w:hAnsi="Times New Roman" w:cs="Times New Roman"/>
          <w:sz w:val="24"/>
          <w:szCs w:val="24"/>
        </w:rPr>
        <w:t>Price, 2017</w:t>
      </w:r>
      <w:r w:rsidR="001A761D">
        <w:rPr>
          <w:rFonts w:ascii="Times New Roman" w:hAnsi="Times New Roman" w:cs="Times New Roman"/>
          <w:sz w:val="24"/>
          <w:szCs w:val="24"/>
        </w:rPr>
        <w:t>).</w:t>
      </w:r>
      <w:r w:rsidR="008F3D70">
        <w:rPr>
          <w:rFonts w:ascii="Times New Roman" w:hAnsi="Times New Roman" w:cs="Times New Roman"/>
          <w:sz w:val="24"/>
          <w:szCs w:val="24"/>
        </w:rPr>
        <w:t xml:space="preserve"> </w:t>
      </w:r>
      <w:r w:rsidR="001A761D">
        <w:rPr>
          <w:rFonts w:ascii="Times New Roman" w:hAnsi="Times New Roman" w:cs="Times New Roman"/>
          <w:sz w:val="24"/>
          <w:szCs w:val="24"/>
        </w:rPr>
        <w:t xml:space="preserve"> </w:t>
      </w:r>
    </w:p>
    <w:p w:rsidR="005450B1" w:rsidRPr="00584638" w:rsidRDefault="00977AE3" w:rsidP="00654D33">
      <w:pPr>
        <w:tabs>
          <w:tab w:val="left" w:pos="316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584638" w:rsidRPr="00584638">
        <w:rPr>
          <w:rFonts w:ascii="Times New Roman" w:hAnsi="Times New Roman" w:cs="Times New Roman"/>
          <w:b/>
          <w:sz w:val="24"/>
          <w:szCs w:val="24"/>
        </w:rPr>
        <w:t>Property Taxes in Georgia</w:t>
      </w:r>
    </w:p>
    <w:p w:rsidR="00FF3D16" w:rsidRDefault="00977AE3"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Georgia, the property tax is a tax on the value of all real and tangible personal property unless exempt. </w:t>
      </w:r>
      <w:r w:rsidR="0049448C">
        <w:rPr>
          <w:rFonts w:ascii="Times New Roman" w:hAnsi="Times New Roman" w:cs="Times New Roman"/>
          <w:sz w:val="24"/>
          <w:szCs w:val="24"/>
        </w:rPr>
        <w:t>Property tax rates in Georgia are relatively low since the average effective property tax rate is 0.91%.</w:t>
      </w:r>
      <w:r w:rsidR="00584638">
        <w:rPr>
          <w:rFonts w:ascii="Times New Roman" w:hAnsi="Times New Roman" w:cs="Times New Roman"/>
          <w:sz w:val="24"/>
          <w:szCs w:val="24"/>
        </w:rPr>
        <w:t xml:space="preserve"> </w:t>
      </w:r>
      <w:r w:rsidR="007F1A60">
        <w:rPr>
          <w:rFonts w:ascii="Times New Roman" w:hAnsi="Times New Roman" w:cs="Times New Roman"/>
          <w:sz w:val="24"/>
          <w:szCs w:val="24"/>
        </w:rPr>
        <w:t>With</w:t>
      </w:r>
      <w:r w:rsidR="00584638">
        <w:rPr>
          <w:rFonts w:ascii="Times New Roman" w:hAnsi="Times New Roman" w:cs="Times New Roman"/>
          <w:sz w:val="24"/>
          <w:szCs w:val="24"/>
        </w:rPr>
        <w:t xml:space="preserve"> time</w:t>
      </w:r>
      <w:r w:rsidR="007F1A60">
        <w:rPr>
          <w:rFonts w:ascii="Times New Roman" w:hAnsi="Times New Roman" w:cs="Times New Roman"/>
          <w:sz w:val="24"/>
          <w:szCs w:val="24"/>
        </w:rPr>
        <w:t xml:space="preserve"> the tax rates have grown</w:t>
      </w:r>
      <w:r w:rsidR="00584638">
        <w:rPr>
          <w:rFonts w:ascii="Times New Roman" w:hAnsi="Times New Roman" w:cs="Times New Roman"/>
          <w:sz w:val="24"/>
          <w:szCs w:val="24"/>
        </w:rPr>
        <w:t xml:space="preserve">. In the years 2012 and 2013, the </w:t>
      </w:r>
      <w:r w:rsidR="009B5C35">
        <w:rPr>
          <w:rFonts w:ascii="Times New Roman" w:hAnsi="Times New Roman" w:cs="Times New Roman"/>
          <w:sz w:val="24"/>
          <w:szCs w:val="24"/>
        </w:rPr>
        <w:t>property taxes were 65.15 of local taxes. Over the period 1980-2014, the total tax base increased 7.63 fold, or at a compound annual increase of 6.98 % (Sjoquist, 2016).</w:t>
      </w:r>
      <w:r w:rsidR="0049448C">
        <w:rPr>
          <w:rFonts w:ascii="Times New Roman" w:hAnsi="Times New Roman" w:cs="Times New Roman"/>
          <w:sz w:val="24"/>
          <w:szCs w:val="24"/>
        </w:rPr>
        <w:t xml:space="preserve"> IN 2008, the property tax bases had reached the peak, but it later declined due to the i</w:t>
      </w:r>
      <w:r>
        <w:rPr>
          <w:rFonts w:ascii="Times New Roman" w:hAnsi="Times New Roman" w:cs="Times New Roman"/>
          <w:sz w:val="24"/>
          <w:szCs w:val="24"/>
        </w:rPr>
        <w:t xml:space="preserve">mpacts of the Great Recession. </w:t>
      </w:r>
      <w:r w:rsidR="007F1A60">
        <w:rPr>
          <w:rFonts w:ascii="Times New Roman" w:hAnsi="Times New Roman" w:cs="Times New Roman"/>
          <w:sz w:val="24"/>
          <w:szCs w:val="24"/>
        </w:rPr>
        <w:t>The property taxes that people pay in Georgia rely on the assessed value of their home and based on the market value of their home.</w:t>
      </w:r>
    </w:p>
    <w:p w:rsidR="00FF3D16" w:rsidRDefault="00977AE3"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counties in Georgia uses a mass appraisal to determine the </w:t>
      </w:r>
      <w:r w:rsidR="002F2D68">
        <w:rPr>
          <w:rFonts w:ascii="Times New Roman" w:hAnsi="Times New Roman" w:cs="Times New Roman"/>
          <w:sz w:val="24"/>
          <w:szCs w:val="24"/>
        </w:rPr>
        <w:t xml:space="preserve">assessed value of each home. The mass appraisal helps to determine the market value of each home using factors, such as property type and neighborhood, determines the market value of each home. </w:t>
      </w:r>
      <w:r w:rsidR="0003220C">
        <w:rPr>
          <w:rFonts w:ascii="Times New Roman" w:hAnsi="Times New Roman" w:cs="Times New Roman"/>
          <w:sz w:val="24"/>
          <w:szCs w:val="24"/>
        </w:rPr>
        <w:t xml:space="preserve">A high proportion of the counties use the 40% assessment ratio. </w:t>
      </w:r>
      <w:r w:rsidR="004214AB">
        <w:rPr>
          <w:rFonts w:ascii="Times New Roman" w:hAnsi="Times New Roman" w:cs="Times New Roman"/>
          <w:sz w:val="24"/>
          <w:szCs w:val="24"/>
        </w:rPr>
        <w:t>Only a small number of counties use an assessment ratio that is not 40%; for example, Decatur has a 50% assessment ratio.</w:t>
      </w:r>
    </w:p>
    <w:p w:rsidR="00654D33" w:rsidRDefault="00977AE3"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property tax rates are known as mills in Georgia, whereby they are equal to $1 of taxes for every $1000 in assessed value. The school taxes contribute to the highest taxes in </w:t>
      </w:r>
      <w:r>
        <w:rPr>
          <w:rFonts w:ascii="Times New Roman" w:hAnsi="Times New Roman" w:cs="Times New Roman"/>
          <w:sz w:val="24"/>
          <w:szCs w:val="24"/>
        </w:rPr>
        <w:lastRenderedPageBreak/>
        <w:t xml:space="preserve">Georgia that is between 15 and 20 mills. One of the factors that have contributed to the growth of the property taxes is population. An increase in population increases property taxes. Per capita also affects the growth of tax rates. </w:t>
      </w:r>
      <w:r w:rsidR="002A165C">
        <w:rPr>
          <w:rFonts w:ascii="Times New Roman" w:hAnsi="Times New Roman" w:cs="Times New Roman"/>
          <w:sz w:val="24"/>
          <w:szCs w:val="24"/>
        </w:rPr>
        <w:t xml:space="preserve">Thus, as income rises, </w:t>
      </w:r>
      <w:r w:rsidR="00FF3D16">
        <w:rPr>
          <w:rFonts w:ascii="Times New Roman" w:hAnsi="Times New Roman" w:cs="Times New Roman"/>
          <w:sz w:val="24"/>
          <w:szCs w:val="24"/>
        </w:rPr>
        <w:t>an increase</w:t>
      </w:r>
      <w:r w:rsidR="002A165C">
        <w:rPr>
          <w:rFonts w:ascii="Times New Roman" w:hAnsi="Times New Roman" w:cs="Times New Roman"/>
          <w:sz w:val="24"/>
          <w:szCs w:val="24"/>
        </w:rPr>
        <w:t xml:space="preserve"> in property tax rates is expected to increase (Sjoquist, 2016).  </w:t>
      </w:r>
    </w:p>
    <w:p w:rsidR="00D973CA" w:rsidRPr="007E6774" w:rsidRDefault="00977AE3" w:rsidP="00CD6B31">
      <w:pPr>
        <w:tabs>
          <w:tab w:val="left" w:pos="2696"/>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7E6774">
        <w:rPr>
          <w:rFonts w:ascii="Times New Roman" w:hAnsi="Times New Roman" w:cs="Times New Roman"/>
          <w:b/>
          <w:sz w:val="24"/>
          <w:szCs w:val="24"/>
        </w:rPr>
        <w:t xml:space="preserve">Property Taxes in </w:t>
      </w:r>
      <w:r w:rsidR="007E6774" w:rsidRPr="007E6774">
        <w:rPr>
          <w:rFonts w:ascii="Times New Roman" w:hAnsi="Times New Roman" w:cs="Times New Roman"/>
          <w:b/>
          <w:sz w:val="24"/>
          <w:szCs w:val="24"/>
        </w:rPr>
        <w:t>New Jersey</w:t>
      </w:r>
    </w:p>
    <w:p w:rsidR="00C35D95" w:rsidRDefault="00977AE3" w:rsidP="007250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New Jersey property tax rate is at 2.28%, which is the high</w:t>
      </w:r>
      <w:r w:rsidR="007250E7">
        <w:rPr>
          <w:rFonts w:ascii="Times New Roman" w:hAnsi="Times New Roman" w:cs="Times New Roman"/>
          <w:sz w:val="24"/>
          <w:szCs w:val="24"/>
        </w:rPr>
        <w:t>est effective property tax rate</w:t>
      </w:r>
      <w:r>
        <w:rPr>
          <w:rFonts w:ascii="Times New Roman" w:hAnsi="Times New Roman" w:cs="Times New Roman"/>
          <w:sz w:val="24"/>
          <w:szCs w:val="24"/>
        </w:rPr>
        <w:t xml:space="preserve"> since it is double the national average of 1.17%. In 2017, homes in New Jersey had a value of $367,036, with an $8,696 property tax bill. The property tax bill of New Jersey is higher than the national average property bill, which is at $3,300. </w:t>
      </w:r>
      <w:r w:rsidR="00A0096C">
        <w:rPr>
          <w:rFonts w:ascii="Times New Roman" w:hAnsi="Times New Roman" w:cs="Times New Roman"/>
          <w:sz w:val="24"/>
          <w:szCs w:val="24"/>
        </w:rPr>
        <w:t>Different counties in New Jersey have different tax rates. Counties such as Bergen, Essex, Morris, and Union have the same property tax that is more than $10,00. Cumberland has an average property tax of $4,213, which is relatively low than the other counties.</w:t>
      </w:r>
    </w:p>
    <w:p w:rsidR="00A0096C" w:rsidRDefault="00977AE3" w:rsidP="00C35D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revenue collected from property tax is disbursed into three portions. The first portion, which accounts to 18$ goes to county levy, the second portion of 29% goes to the municipal level, and the last portion of 53% goes to school levy. </w:t>
      </w:r>
      <w:r w:rsidR="00387564">
        <w:rPr>
          <w:rFonts w:ascii="Times New Roman" w:hAnsi="Times New Roman" w:cs="Times New Roman"/>
          <w:sz w:val="24"/>
          <w:szCs w:val="24"/>
        </w:rPr>
        <w:t>High property tax rates in New Jersey are caused by the top funding that the school's needs. A large amount of the revenue collected from property tax goes to New Jersey's K-12 public education system. In 2017, cities like Cape May, funded goes to the public school with a 3.9% of the revenue from property tax, while Millstone supported the public education system with a 77.41% of the revenue collected from tax property.</w:t>
      </w:r>
    </w:p>
    <w:p w:rsidR="00C35D95" w:rsidRDefault="00977AE3" w:rsidP="00CD6B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massive scale of local home building in New Jersey in the past years, led to the increase of class differentiation, as newly constructed houses effortlessly bore class markings (Nicolaides, &amp; Wiese, 2016). These changes shaped the future seen now, and the property tax </w:t>
      </w:r>
      <w:r>
        <w:rPr>
          <w:rFonts w:ascii="Times New Roman" w:hAnsi="Times New Roman" w:cs="Times New Roman"/>
          <w:sz w:val="24"/>
          <w:szCs w:val="24"/>
        </w:rPr>
        <w:lastRenderedPageBreak/>
        <w:t xml:space="preserve">rates are high. </w:t>
      </w:r>
      <w:r w:rsidR="00A3493C">
        <w:rPr>
          <w:rFonts w:ascii="Times New Roman" w:hAnsi="Times New Roman" w:cs="Times New Roman"/>
          <w:sz w:val="24"/>
          <w:szCs w:val="24"/>
        </w:rPr>
        <w:t xml:space="preserve">The high tax rate can be due to the exemption of some properties from paying the tax. Properties such as churches, schools, hospitals, and other private businesses are some of the properties exempted from property tax. These shifts the burden of the tax to the remaining property in the state, thus leading to high tax rates in New Jersey. Also, not enacting more substantial reforms to the state's tax </w:t>
      </w:r>
      <w:r>
        <w:rPr>
          <w:rFonts w:ascii="Times New Roman" w:hAnsi="Times New Roman" w:cs="Times New Roman"/>
          <w:sz w:val="24"/>
          <w:szCs w:val="24"/>
        </w:rPr>
        <w:t>system</w:t>
      </w:r>
      <w:r w:rsidR="00A3493C">
        <w:rPr>
          <w:rFonts w:ascii="Times New Roman" w:hAnsi="Times New Roman" w:cs="Times New Roman"/>
          <w:sz w:val="24"/>
          <w:szCs w:val="24"/>
        </w:rPr>
        <w:t xml:space="preserve"> is leading to high tax property rates.  </w:t>
      </w:r>
    </w:p>
    <w:p w:rsidR="00DA6205" w:rsidRDefault="00977AE3" w:rsidP="00DA6205">
      <w:pPr>
        <w:spacing w:after="0" w:line="480" w:lineRule="auto"/>
        <w:rPr>
          <w:rFonts w:ascii="Times New Roman" w:hAnsi="Times New Roman" w:cs="Times New Roman"/>
          <w:b/>
          <w:sz w:val="24"/>
          <w:szCs w:val="24"/>
        </w:rPr>
      </w:pPr>
      <w:r w:rsidRPr="007250E7">
        <w:rPr>
          <w:rFonts w:ascii="Times New Roman" w:hAnsi="Times New Roman" w:cs="Times New Roman"/>
          <w:b/>
          <w:sz w:val="24"/>
          <w:szCs w:val="24"/>
        </w:rPr>
        <w:t xml:space="preserve">Property Taxes in </w:t>
      </w:r>
      <w:r w:rsidR="007250E7" w:rsidRPr="007250E7">
        <w:rPr>
          <w:rFonts w:ascii="Times New Roman" w:hAnsi="Times New Roman" w:cs="Times New Roman"/>
          <w:b/>
          <w:sz w:val="24"/>
          <w:szCs w:val="24"/>
        </w:rPr>
        <w:t>South Carolina</w:t>
      </w:r>
    </w:p>
    <w:p w:rsidR="00FC7CC4" w:rsidRDefault="00977AE3" w:rsidP="00FC7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all the properties in South Carolina were charged on a fixed rate per acre. The charging of the property did not put into consideration the quality or the type of property. There were arguments on which system to use in determining the tax rate for the properties. Some people agreed with the system that was in use, while for others like the colonial Governor Glen, he argued that the value and type of property should be the critical determinants of the </w:t>
      </w:r>
      <w:r w:rsidR="0022679E">
        <w:rPr>
          <w:rFonts w:ascii="Times New Roman" w:hAnsi="Times New Roman" w:cs="Times New Roman"/>
          <w:sz w:val="24"/>
          <w:szCs w:val="24"/>
        </w:rPr>
        <w:t>property tax rate. Providence of 1865, 1868, and 1895 constitutional conventions marked the beginning of the change from the 18</w:t>
      </w:r>
      <w:r w:rsidR="0022679E" w:rsidRPr="0022679E">
        <w:rPr>
          <w:rFonts w:ascii="Times New Roman" w:hAnsi="Times New Roman" w:cs="Times New Roman"/>
          <w:sz w:val="24"/>
          <w:szCs w:val="24"/>
          <w:vertAlign w:val="superscript"/>
        </w:rPr>
        <w:t>th</w:t>
      </w:r>
      <w:r w:rsidR="0022679E">
        <w:rPr>
          <w:rFonts w:ascii="Times New Roman" w:hAnsi="Times New Roman" w:cs="Times New Roman"/>
          <w:sz w:val="24"/>
          <w:szCs w:val="24"/>
        </w:rPr>
        <w:t>-century tax system to the current South Carolina tax system.</w:t>
      </w:r>
    </w:p>
    <w:p w:rsidR="00FC7CC4" w:rsidRDefault="00977AE3" w:rsidP="00FC7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9F240B">
        <w:rPr>
          <w:rFonts w:ascii="Times New Roman" w:hAnsi="Times New Roman" w:cs="Times New Roman"/>
          <w:sz w:val="24"/>
          <w:szCs w:val="24"/>
        </w:rPr>
        <w:t xml:space="preserve">n the current South Carolina, the tax rate has grown, and the system has changed. The current system assesses the services that the municipality needs to fund by the cost of providence for those services. The property tax rate is between 0.4 and 0.8. This rate shows that there is a difference that is significant in actual payments. </w:t>
      </w:r>
      <w:r w:rsidR="001E573D">
        <w:rPr>
          <w:rFonts w:ascii="Times New Roman" w:hAnsi="Times New Roman" w:cs="Times New Roman"/>
          <w:sz w:val="24"/>
          <w:szCs w:val="24"/>
        </w:rPr>
        <w:t>The property tax rate is at an average of 0.574%.  The counties in South Carolina have different tax rates, and some have a high rate, while others have a low rate.</w:t>
      </w:r>
    </w:p>
    <w:p w:rsidR="009F240B" w:rsidRDefault="00977AE3" w:rsidP="00FC7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Counties with a high property tax rate are Newberry, which is at 0.86%, Richland land, which is at 0.80%, and Bamberg, which is at 0.73%.  Counties with a low property tax rate are Chesterfield, which is at 0.43%, Florence, which is at 0.42%, and Horry, which is at 0.37%.  The low property tax rate has a positive impact on the homeowners as they do not bear the burden of </w:t>
      </w:r>
      <w:r>
        <w:rPr>
          <w:rFonts w:ascii="Times New Roman" w:hAnsi="Times New Roman" w:cs="Times New Roman"/>
          <w:sz w:val="24"/>
          <w:szCs w:val="24"/>
        </w:rPr>
        <w:lastRenderedPageBreak/>
        <w:t>funding the state. Since the county cannot use the revenue from property tax, the government supports the schools using the high taxes imposed on vehicles, and from the tax imposed on rental properties.</w:t>
      </w:r>
    </w:p>
    <w:p w:rsidR="00FC7CC4" w:rsidRPr="00FC7CC4" w:rsidRDefault="00977AE3" w:rsidP="00FC7CC4">
      <w:pPr>
        <w:spacing w:after="0" w:line="480" w:lineRule="auto"/>
        <w:jc w:val="center"/>
        <w:rPr>
          <w:rFonts w:ascii="Times New Roman" w:hAnsi="Times New Roman" w:cs="Times New Roman"/>
          <w:b/>
          <w:sz w:val="24"/>
          <w:szCs w:val="24"/>
        </w:rPr>
      </w:pPr>
      <w:r w:rsidRPr="00FC7CC4">
        <w:rPr>
          <w:rFonts w:ascii="Times New Roman" w:hAnsi="Times New Roman" w:cs="Times New Roman"/>
          <w:b/>
          <w:sz w:val="24"/>
          <w:szCs w:val="24"/>
        </w:rPr>
        <w:t>Property Taxes in New York</w:t>
      </w:r>
    </w:p>
    <w:p w:rsidR="00FC7CC4" w:rsidRDefault="00977AE3" w:rsidP="00BD66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New York is one of the cities where the property tax rates increase at a very faster rate. In the past, the price of land tripled in five years, and there was the development of new houses everywhere in the city (Sjoquist, 2016). An increase in the price of land, population increase, and development of new homes were the key contributors to the rise in property tax rates. </w:t>
      </w:r>
      <w:r w:rsidR="008B15C1">
        <w:rPr>
          <w:rFonts w:ascii="Times New Roman" w:hAnsi="Times New Roman" w:cs="Times New Roman"/>
          <w:sz w:val="24"/>
          <w:szCs w:val="24"/>
        </w:rPr>
        <w:t>In the past decades, the tax rates have grown at triple the rate over the past decade. This growth is raising the living standards and giving a hard time to the residents. Between the years 2015 and 2016, the tax rates grew in a double portion. In 2015 the rate was at 6.6%, but in 2017, it increased to 12.7%.</w:t>
      </w:r>
    </w:p>
    <w:p w:rsidR="00DE342E" w:rsidRDefault="00977AE3" w:rsidP="00FC7CC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tax rate varies between Ney York city and the rest of the states. In the current New York, the tax rates are relatively low. </w:t>
      </w:r>
    </w:p>
    <w:p w:rsidR="00DE342E" w:rsidRDefault="00977AE3" w:rsidP="00DE34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variation in the discount in valuation is a result of using rental buildings as comparable properties that are variable in their differences from the co-ops and condos to which they are compared (</w:t>
      </w:r>
      <w:r w:rsidR="00D25A1A">
        <w:rPr>
          <w:rFonts w:ascii="Times New Roman" w:hAnsi="Times New Roman" w:cs="Times New Roman"/>
          <w:sz w:val="24"/>
          <w:szCs w:val="24"/>
        </w:rPr>
        <w:t>Cetrino, &amp; Benjamin</w:t>
      </w:r>
      <w:r>
        <w:rPr>
          <w:rFonts w:ascii="Times New Roman" w:hAnsi="Times New Roman" w:cs="Times New Roman"/>
          <w:sz w:val="24"/>
          <w:szCs w:val="24"/>
        </w:rPr>
        <w:t xml:space="preserve">). </w:t>
      </w:r>
      <w:r w:rsidR="00F6147A">
        <w:rPr>
          <w:rFonts w:ascii="Times New Roman" w:hAnsi="Times New Roman" w:cs="Times New Roman"/>
          <w:sz w:val="24"/>
          <w:szCs w:val="24"/>
        </w:rPr>
        <w:t>There has been a shift in the property tax rates ad it has created a more significant difference between rental buildings and co-ops and condos. The change happened from 1997-2007. The tax rate of the rental buildings was 1.8 times higher than the tax rate of the condos.</w:t>
      </w:r>
    </w:p>
    <w:p w:rsidR="001364DE" w:rsidRDefault="00977AE3" w:rsidP="00DE34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median property tax in Rockland County, New York, is $8,268 per year for a home worth the median value of $476, 900. The amount of revenue that the county collects per year </w:t>
      </w:r>
      <w:r>
        <w:rPr>
          <w:rFonts w:ascii="Times New Roman" w:hAnsi="Times New Roman" w:cs="Times New Roman"/>
          <w:sz w:val="24"/>
          <w:szCs w:val="24"/>
        </w:rPr>
        <w:lastRenderedPageBreak/>
        <w:t xml:space="preserve">from property tax is 1.73%. </w:t>
      </w:r>
      <w:r w:rsidR="007821D4">
        <w:rPr>
          <w:rFonts w:ascii="Times New Roman" w:hAnsi="Times New Roman" w:cs="Times New Roman"/>
          <w:sz w:val="24"/>
          <w:szCs w:val="24"/>
        </w:rPr>
        <w:t xml:space="preserve"> The county uses the fair market value of the home to calculate due tax on each property. </w:t>
      </w:r>
    </w:p>
    <w:p w:rsidR="006E1620" w:rsidRDefault="00977AE3" w:rsidP="009C62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shift in the burden of the property tax from rental buildings to the condos affects rent paid by individuals in large rental buildings (</w:t>
      </w:r>
      <w:r w:rsidR="00D25A1A">
        <w:rPr>
          <w:rFonts w:ascii="Times New Roman" w:hAnsi="Times New Roman" w:cs="Times New Roman"/>
          <w:sz w:val="24"/>
          <w:szCs w:val="24"/>
        </w:rPr>
        <w:t>Cetrino, &amp; Benjamin</w:t>
      </w:r>
      <w:r>
        <w:rPr>
          <w:rFonts w:ascii="Times New Roman" w:hAnsi="Times New Roman" w:cs="Times New Roman"/>
          <w:sz w:val="24"/>
          <w:szCs w:val="24"/>
        </w:rPr>
        <w:t xml:space="preserve">). </w:t>
      </w:r>
      <w:r w:rsidR="00DA1D8C">
        <w:rPr>
          <w:rFonts w:ascii="Times New Roman" w:hAnsi="Times New Roman" w:cs="Times New Roman"/>
          <w:sz w:val="24"/>
          <w:szCs w:val="24"/>
        </w:rPr>
        <w:t xml:space="preserve"> The leading bearers of the property tax economic burden are the homeowners and the people who are renting. When the financial burden generated from the property tax shift from the condos to the large rental buildings, the homeowners bear an enormous burden, and still, the renters experience the strain.  </w:t>
      </w:r>
    </w:p>
    <w:p w:rsidR="009C620D" w:rsidRPr="00F85619" w:rsidRDefault="00977AE3" w:rsidP="00F85619">
      <w:pPr>
        <w:spacing w:after="0" w:line="480" w:lineRule="auto"/>
        <w:jc w:val="center"/>
        <w:rPr>
          <w:rFonts w:ascii="Times New Roman" w:hAnsi="Times New Roman" w:cs="Times New Roman"/>
          <w:b/>
          <w:sz w:val="24"/>
          <w:szCs w:val="24"/>
        </w:rPr>
      </w:pPr>
      <w:r w:rsidRPr="00F85619">
        <w:rPr>
          <w:rFonts w:ascii="Times New Roman" w:hAnsi="Times New Roman" w:cs="Times New Roman"/>
          <w:b/>
          <w:sz w:val="24"/>
          <w:szCs w:val="24"/>
        </w:rPr>
        <w:t>Conclusion</w:t>
      </w:r>
    </w:p>
    <w:p w:rsidR="00F85619" w:rsidRDefault="00977AE3" w:rsidP="00F856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East Coast areas discussed above have different property tax rates. In each region, the counties use a different system to assess the tax due on a property. Various factors cause the difference in the property tax rates in different areas and counties. Factors such as increases in population, town ad city growth, increase in the cost of land are some of the factors that make a city or a county to have a high property tax rate in comparison to another county. The property tax rate of some areas has grown with time, but the growth differs. In some regions like New York and New Jersey, the tax rates are relatively high. While for areas such as Georgia and  South Carolina and Pennsylvania, the property rates are comparatively lower.</w:t>
      </w: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F85619" w:rsidRDefault="00F85619" w:rsidP="00F85619">
      <w:pPr>
        <w:spacing w:after="0" w:line="480" w:lineRule="auto"/>
        <w:rPr>
          <w:rFonts w:ascii="Times New Roman" w:hAnsi="Times New Roman" w:cs="Times New Roman"/>
          <w:sz w:val="24"/>
          <w:szCs w:val="24"/>
        </w:rPr>
      </w:pPr>
    </w:p>
    <w:p w:rsidR="00996B12" w:rsidRDefault="00996B12" w:rsidP="00F85619">
      <w:pPr>
        <w:spacing w:after="0" w:line="480" w:lineRule="auto"/>
        <w:jc w:val="center"/>
        <w:rPr>
          <w:rFonts w:ascii="Times New Roman" w:hAnsi="Times New Roman" w:cs="Times New Roman"/>
          <w:sz w:val="24"/>
          <w:szCs w:val="24"/>
        </w:rPr>
      </w:pPr>
    </w:p>
    <w:p w:rsidR="009C620D" w:rsidRDefault="00977AE3" w:rsidP="00F856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620D" w:rsidRDefault="00977AE3" w:rsidP="009C620D">
      <w:pPr>
        <w:spacing w:after="0" w:line="480" w:lineRule="auto"/>
        <w:ind w:left="720" w:hanging="720"/>
        <w:rPr>
          <w:rFonts w:ascii="Times New Roman" w:hAnsi="Times New Roman" w:cs="Times New Roman"/>
          <w:b/>
          <w:sz w:val="24"/>
          <w:szCs w:val="24"/>
        </w:rPr>
      </w:pPr>
      <w:r w:rsidRPr="0069325E">
        <w:rPr>
          <w:rFonts w:ascii="Times New Roman" w:hAnsi="Times New Roman" w:cs="Times New Roman"/>
          <w:color w:val="222222"/>
          <w:sz w:val="24"/>
          <w:szCs w:val="24"/>
          <w:shd w:val="clear" w:color="auto" w:fill="FFFFFF"/>
        </w:rPr>
        <w:t>Carroll, J., &amp; McDonald, J. F. (2018). Should the Philadelphia Property Tax Classification System Be Modified?. </w:t>
      </w:r>
      <w:r w:rsidRPr="0069325E">
        <w:rPr>
          <w:rFonts w:ascii="Times New Roman" w:hAnsi="Times New Roman" w:cs="Times New Roman"/>
          <w:i/>
          <w:iCs/>
          <w:color w:val="222222"/>
          <w:sz w:val="24"/>
          <w:szCs w:val="24"/>
          <w:shd w:val="clear" w:color="auto" w:fill="FFFFFF"/>
        </w:rPr>
        <w:t>Commonwealth</w:t>
      </w:r>
      <w:r w:rsidRPr="0069325E">
        <w:rPr>
          <w:rFonts w:ascii="Times New Roman" w:hAnsi="Times New Roman" w:cs="Times New Roman"/>
          <w:color w:val="222222"/>
          <w:sz w:val="24"/>
          <w:szCs w:val="24"/>
          <w:shd w:val="clear" w:color="auto" w:fill="FFFFFF"/>
        </w:rPr>
        <w:t>, </w:t>
      </w:r>
      <w:r w:rsidRPr="0069325E">
        <w:rPr>
          <w:rFonts w:ascii="Times New Roman" w:hAnsi="Times New Roman" w:cs="Times New Roman"/>
          <w:i/>
          <w:iCs/>
          <w:color w:val="222222"/>
          <w:sz w:val="24"/>
          <w:szCs w:val="24"/>
          <w:shd w:val="clear" w:color="auto" w:fill="FFFFFF"/>
        </w:rPr>
        <w:t>20</w:t>
      </w:r>
      <w:r w:rsidRPr="0069325E">
        <w:rPr>
          <w:rFonts w:ascii="Times New Roman" w:hAnsi="Times New Roman" w:cs="Times New Roman"/>
          <w:color w:val="222222"/>
          <w:sz w:val="24"/>
          <w:szCs w:val="24"/>
          <w:shd w:val="clear" w:color="auto" w:fill="FFFFFF"/>
        </w:rPr>
        <w:t>(1).</w:t>
      </w:r>
    </w:p>
    <w:p w:rsidR="00D25A1A" w:rsidRPr="00D25A1A" w:rsidRDefault="00977AE3" w:rsidP="00D25A1A">
      <w:pPr>
        <w:tabs>
          <w:tab w:val="left" w:pos="3119"/>
        </w:tabs>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222222"/>
          <w:sz w:val="24"/>
          <w:szCs w:val="24"/>
          <w:shd w:val="clear" w:color="auto" w:fill="FFFFFF"/>
        </w:rPr>
        <w:t>Ce</w:t>
      </w:r>
      <w:r w:rsidRPr="00D25A1A">
        <w:rPr>
          <w:rFonts w:ascii="Times New Roman" w:hAnsi="Times New Roman" w:cs="Times New Roman"/>
          <w:color w:val="222222"/>
          <w:sz w:val="24"/>
          <w:szCs w:val="24"/>
          <w:shd w:val="clear" w:color="auto" w:fill="FFFFFF"/>
        </w:rPr>
        <w:t>trino, T., &amp; Benjamin, G. Classification of Property for Taxation in New York State: Issues and Options.</w:t>
      </w:r>
    </w:p>
    <w:p w:rsidR="009C620D" w:rsidRPr="0069325E" w:rsidRDefault="00977AE3" w:rsidP="009C620D">
      <w:pPr>
        <w:tabs>
          <w:tab w:val="left" w:pos="3119"/>
        </w:tabs>
        <w:spacing w:after="0" w:line="480" w:lineRule="auto"/>
        <w:ind w:left="720" w:hanging="720"/>
        <w:rPr>
          <w:rFonts w:ascii="Times New Roman" w:hAnsi="Times New Roman" w:cs="Times New Roman"/>
          <w:color w:val="000000"/>
          <w:sz w:val="24"/>
          <w:szCs w:val="24"/>
          <w:shd w:val="clear" w:color="auto" w:fill="FFFFFF"/>
        </w:rPr>
      </w:pPr>
      <w:r w:rsidRPr="0069325E">
        <w:rPr>
          <w:rFonts w:ascii="Times New Roman" w:hAnsi="Times New Roman" w:cs="Times New Roman"/>
          <w:color w:val="000000"/>
          <w:sz w:val="24"/>
          <w:szCs w:val="24"/>
          <w:shd w:val="clear" w:color="auto" w:fill="FFFFFF"/>
        </w:rPr>
        <w:t>Nicolaides, B. and Wiese, A. (2016). </w:t>
      </w:r>
      <w:r w:rsidRPr="0069325E">
        <w:rPr>
          <w:rFonts w:ascii="Times New Roman" w:hAnsi="Times New Roman" w:cs="Times New Roman"/>
          <w:i/>
          <w:iCs/>
          <w:color w:val="000000"/>
          <w:sz w:val="24"/>
          <w:szCs w:val="24"/>
          <w:shd w:val="clear" w:color="auto" w:fill="FFFFFF"/>
        </w:rPr>
        <w:t>The suburb reader</w:t>
      </w:r>
      <w:r w:rsidRPr="0069325E">
        <w:rPr>
          <w:rFonts w:ascii="Times New Roman" w:hAnsi="Times New Roman" w:cs="Times New Roman"/>
          <w:color w:val="000000"/>
          <w:sz w:val="24"/>
          <w:szCs w:val="24"/>
          <w:shd w:val="clear" w:color="auto" w:fill="FFFFFF"/>
        </w:rPr>
        <w:t xml:space="preserve">. 2nd ed. New York: Routledge. </w:t>
      </w:r>
    </w:p>
    <w:p w:rsidR="009C620D" w:rsidRPr="0069325E" w:rsidRDefault="00977AE3" w:rsidP="009C620D">
      <w:pPr>
        <w:spacing w:after="0" w:line="480" w:lineRule="auto"/>
        <w:ind w:left="720" w:hanging="720"/>
        <w:rPr>
          <w:rFonts w:ascii="Times New Roman" w:hAnsi="Times New Roman" w:cs="Times New Roman"/>
          <w:color w:val="222222"/>
          <w:sz w:val="24"/>
          <w:szCs w:val="24"/>
          <w:shd w:val="clear" w:color="auto" w:fill="FFFFFF"/>
        </w:rPr>
      </w:pPr>
      <w:r w:rsidRPr="0069325E">
        <w:rPr>
          <w:rFonts w:ascii="Times New Roman" w:hAnsi="Times New Roman" w:cs="Times New Roman"/>
          <w:color w:val="222222"/>
          <w:sz w:val="24"/>
          <w:szCs w:val="24"/>
          <w:shd w:val="clear" w:color="auto" w:fill="FFFFFF"/>
        </w:rPr>
        <w:t>Price, M. (2017). Who Pays for School Property Tax Elimination? An Analysis of School Property Tax Burdens in Pennsylvania. </w:t>
      </w:r>
      <w:r w:rsidRPr="0069325E">
        <w:rPr>
          <w:rFonts w:ascii="Times New Roman" w:hAnsi="Times New Roman" w:cs="Times New Roman"/>
          <w:i/>
          <w:iCs/>
          <w:color w:val="222222"/>
          <w:sz w:val="24"/>
          <w:szCs w:val="24"/>
          <w:shd w:val="clear" w:color="auto" w:fill="FFFFFF"/>
        </w:rPr>
        <w:t>Keystone Research Center</w:t>
      </w:r>
      <w:r w:rsidRPr="0069325E">
        <w:rPr>
          <w:rFonts w:ascii="Times New Roman" w:hAnsi="Times New Roman" w:cs="Times New Roman"/>
          <w:color w:val="222222"/>
          <w:sz w:val="24"/>
          <w:szCs w:val="24"/>
          <w:shd w:val="clear" w:color="auto" w:fill="FFFFFF"/>
        </w:rPr>
        <w:t xml:space="preserve">. </w:t>
      </w:r>
    </w:p>
    <w:p w:rsidR="009C620D" w:rsidRDefault="00977AE3" w:rsidP="009C620D">
      <w:pPr>
        <w:tabs>
          <w:tab w:val="left" w:pos="3119"/>
        </w:tabs>
        <w:spacing w:after="0" w:line="480" w:lineRule="auto"/>
        <w:ind w:left="720" w:hanging="720"/>
        <w:rPr>
          <w:rFonts w:ascii="Times New Roman" w:hAnsi="Times New Roman" w:cs="Times New Roman"/>
          <w:color w:val="222222"/>
          <w:sz w:val="24"/>
          <w:szCs w:val="24"/>
          <w:shd w:val="clear" w:color="auto" w:fill="FFFFFF"/>
        </w:rPr>
      </w:pPr>
      <w:r w:rsidRPr="0069325E">
        <w:rPr>
          <w:rFonts w:ascii="Times New Roman" w:hAnsi="Times New Roman" w:cs="Times New Roman"/>
          <w:color w:val="222222"/>
          <w:sz w:val="24"/>
          <w:szCs w:val="24"/>
          <w:shd w:val="clear" w:color="auto" w:fill="FFFFFF"/>
        </w:rPr>
        <w:t>Sjoquist, D. L. (2016). Georgia’s Property Taxes by the Numbers.</w:t>
      </w:r>
    </w:p>
    <w:p w:rsidR="009C620D" w:rsidRPr="00A80480" w:rsidRDefault="009C620D" w:rsidP="009C620D">
      <w:pPr>
        <w:spacing w:after="0" w:line="480" w:lineRule="auto"/>
        <w:rPr>
          <w:rFonts w:ascii="Times New Roman" w:hAnsi="Times New Roman" w:cs="Times New Roman"/>
          <w:sz w:val="24"/>
          <w:szCs w:val="24"/>
        </w:rPr>
      </w:pPr>
    </w:p>
    <w:sectPr w:rsidR="009C620D" w:rsidRPr="00A80480" w:rsidSect="0024086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FA9" w:rsidRDefault="002F6FA9">
      <w:pPr>
        <w:spacing w:after="0" w:line="240" w:lineRule="auto"/>
      </w:pPr>
      <w:r>
        <w:separator/>
      </w:r>
    </w:p>
  </w:endnote>
  <w:endnote w:type="continuationSeparator" w:id="0">
    <w:p w:rsidR="002F6FA9" w:rsidRDefault="002F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FA9" w:rsidRDefault="002F6FA9">
      <w:pPr>
        <w:spacing w:after="0" w:line="240" w:lineRule="auto"/>
      </w:pPr>
      <w:r>
        <w:separator/>
      </w:r>
    </w:p>
  </w:footnote>
  <w:footnote w:type="continuationSeparator" w:id="0">
    <w:p w:rsidR="002F6FA9" w:rsidRDefault="002F6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C1F" w:rsidRPr="001D1C1C" w:rsidRDefault="00977AE3" w:rsidP="001D1C1C">
    <w:pPr>
      <w:pStyle w:val="Header"/>
      <w:spacing w:line="480" w:lineRule="auto"/>
      <w:rPr>
        <w:rFonts w:ascii="Times New Roman" w:hAnsi="Times New Roman" w:cs="Times New Roman"/>
        <w:sz w:val="24"/>
        <w:szCs w:val="24"/>
      </w:rPr>
    </w:pPr>
    <w:r w:rsidRPr="001D1C1C">
      <w:rPr>
        <w:rFonts w:ascii="Times New Roman" w:hAnsi="Times New Roman" w:cs="Times New Roman"/>
        <w:sz w:val="24"/>
        <w:szCs w:val="24"/>
      </w:rPr>
      <w:t xml:space="preserve">PROPERTY TAXES </w:t>
    </w:r>
    <w:r w:rsidR="00996B12">
      <w:rPr>
        <w:rFonts w:ascii="Times New Roman" w:hAnsi="Times New Roman" w:cs="Times New Roman"/>
        <w:sz w:val="24"/>
        <w:szCs w:val="24"/>
      </w:rPr>
      <w:t>OF</w:t>
    </w:r>
    <w:r>
      <w:rPr>
        <w:rFonts w:ascii="Times New Roman" w:hAnsi="Times New Roman" w:cs="Times New Roman"/>
        <w:sz w:val="24"/>
        <w:szCs w:val="24"/>
      </w:rPr>
      <w:t xml:space="preserve"> THE </w:t>
    </w:r>
    <w:r w:rsidRPr="001D1C1C">
      <w:rPr>
        <w:rFonts w:ascii="Times New Roman" w:hAnsi="Times New Roman" w:cs="Times New Roman"/>
        <w:sz w:val="24"/>
        <w:szCs w:val="24"/>
      </w:rPr>
      <w:t>EAST COAST</w:t>
    </w:r>
    <w:r>
      <w:rPr>
        <w:rFonts w:ascii="Times New Roman" w:hAnsi="Times New Roman" w:cs="Times New Roman"/>
        <w:sz w:val="24"/>
        <w:szCs w:val="24"/>
      </w:rPr>
      <w:t xml:space="preserve"> AREAS</w:t>
    </w:r>
    <w:r>
      <w:rPr>
        <w:rFonts w:ascii="Times New Roman" w:hAnsi="Times New Roman" w:cs="Times New Roman"/>
        <w:sz w:val="24"/>
        <w:szCs w:val="24"/>
      </w:rPr>
      <w:tab/>
    </w:r>
    <w:sdt>
      <w:sdtPr>
        <w:rPr>
          <w:rFonts w:ascii="Times New Roman" w:hAnsi="Times New Roman" w:cs="Times New Roman"/>
          <w:sz w:val="24"/>
          <w:szCs w:val="24"/>
        </w:rPr>
        <w:id w:val="1984196493"/>
        <w:docPartObj>
          <w:docPartGallery w:val="Page Numbers (Top of Page)"/>
          <w:docPartUnique/>
        </w:docPartObj>
      </w:sdtPr>
      <w:sdtEndPr>
        <w:rPr>
          <w:noProof/>
        </w:rPr>
      </w:sdtEndPr>
      <w:sdtContent>
        <w:r w:rsidRPr="001D1C1C">
          <w:rPr>
            <w:rFonts w:ascii="Times New Roman" w:hAnsi="Times New Roman" w:cs="Times New Roman"/>
            <w:sz w:val="24"/>
            <w:szCs w:val="24"/>
          </w:rPr>
          <w:fldChar w:fldCharType="begin"/>
        </w:r>
        <w:r w:rsidRPr="001D1C1C">
          <w:rPr>
            <w:rFonts w:ascii="Times New Roman" w:hAnsi="Times New Roman" w:cs="Times New Roman"/>
            <w:sz w:val="24"/>
            <w:szCs w:val="24"/>
          </w:rPr>
          <w:instrText xml:space="preserve"> PAGE   \* MERGEFORMAT </w:instrText>
        </w:r>
        <w:r w:rsidRPr="001D1C1C">
          <w:rPr>
            <w:rFonts w:ascii="Times New Roman" w:hAnsi="Times New Roman" w:cs="Times New Roman"/>
            <w:sz w:val="24"/>
            <w:szCs w:val="24"/>
          </w:rPr>
          <w:fldChar w:fldCharType="separate"/>
        </w:r>
        <w:r w:rsidR="00CF20EB">
          <w:rPr>
            <w:rFonts w:ascii="Times New Roman" w:hAnsi="Times New Roman" w:cs="Times New Roman"/>
            <w:noProof/>
            <w:sz w:val="24"/>
            <w:szCs w:val="24"/>
          </w:rPr>
          <w:t>5</w:t>
        </w:r>
        <w:r w:rsidRPr="001D1C1C">
          <w:rPr>
            <w:rFonts w:ascii="Times New Roman" w:hAnsi="Times New Roman" w:cs="Times New Roman"/>
            <w:noProof/>
            <w:sz w:val="24"/>
            <w:szCs w:val="24"/>
          </w:rPr>
          <w:fldChar w:fldCharType="end"/>
        </w:r>
      </w:sdtContent>
    </w:sdt>
  </w:p>
  <w:p w:rsidR="00456C1F" w:rsidRDefault="00456C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C1F" w:rsidRPr="0024086A" w:rsidRDefault="00977AE3" w:rsidP="0024086A">
    <w:pPr>
      <w:pStyle w:val="Header"/>
      <w:spacing w:line="480" w:lineRule="auto"/>
      <w:rPr>
        <w:rFonts w:ascii="Times New Roman" w:hAnsi="Times New Roman" w:cs="Times New Roman"/>
        <w:sz w:val="24"/>
        <w:szCs w:val="24"/>
      </w:rPr>
    </w:pPr>
    <w:r w:rsidRPr="0024086A">
      <w:rPr>
        <w:rFonts w:ascii="Times New Roman" w:hAnsi="Times New Roman" w:cs="Times New Roman"/>
        <w:sz w:val="24"/>
        <w:szCs w:val="24"/>
      </w:rPr>
      <w:t xml:space="preserve">Running head: PROPERTY TAXES </w:t>
    </w:r>
    <w:r w:rsidR="00996B12">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Pr="0024086A">
      <w:rPr>
        <w:rFonts w:ascii="Times New Roman" w:hAnsi="Times New Roman" w:cs="Times New Roman"/>
        <w:sz w:val="24"/>
        <w:szCs w:val="24"/>
      </w:rPr>
      <w:t>EAST COAST</w:t>
    </w:r>
    <w:sdt>
      <w:sdtPr>
        <w:rPr>
          <w:rFonts w:ascii="Times New Roman" w:hAnsi="Times New Roman" w:cs="Times New Roman"/>
          <w:sz w:val="24"/>
          <w:szCs w:val="24"/>
        </w:rPr>
        <w:id w:val="-1131704443"/>
        <w:docPartObj>
          <w:docPartGallery w:val="Page Numbers (Top of Page)"/>
          <w:docPartUnique/>
        </w:docPartObj>
      </w:sdtPr>
      <w:sdtEndPr>
        <w:rPr>
          <w:noProof/>
        </w:rPr>
      </w:sdtEndPr>
      <w:sdtContent>
        <w:r>
          <w:rPr>
            <w:rFonts w:ascii="Times New Roman" w:hAnsi="Times New Roman" w:cs="Times New Roman"/>
            <w:sz w:val="24"/>
            <w:szCs w:val="24"/>
          </w:rPr>
          <w:t xml:space="preserve"> AREAS</w:t>
        </w:r>
        <w:r>
          <w:rPr>
            <w:rFonts w:ascii="Times New Roman" w:hAnsi="Times New Roman" w:cs="Times New Roman"/>
            <w:sz w:val="24"/>
            <w:szCs w:val="24"/>
          </w:rPr>
          <w:tab/>
        </w:r>
        <w:r w:rsidRPr="0024086A">
          <w:rPr>
            <w:rFonts w:ascii="Times New Roman" w:hAnsi="Times New Roman" w:cs="Times New Roman"/>
            <w:sz w:val="24"/>
            <w:szCs w:val="24"/>
          </w:rPr>
          <w:fldChar w:fldCharType="begin"/>
        </w:r>
        <w:r w:rsidRPr="0024086A">
          <w:rPr>
            <w:rFonts w:ascii="Times New Roman" w:hAnsi="Times New Roman" w:cs="Times New Roman"/>
            <w:sz w:val="24"/>
            <w:szCs w:val="24"/>
          </w:rPr>
          <w:instrText xml:space="preserve"> PAGE   \* MERGEFORMAT </w:instrText>
        </w:r>
        <w:r w:rsidRPr="0024086A">
          <w:rPr>
            <w:rFonts w:ascii="Times New Roman" w:hAnsi="Times New Roman" w:cs="Times New Roman"/>
            <w:sz w:val="24"/>
            <w:szCs w:val="24"/>
          </w:rPr>
          <w:fldChar w:fldCharType="separate"/>
        </w:r>
        <w:r w:rsidR="00CF20EB">
          <w:rPr>
            <w:rFonts w:ascii="Times New Roman" w:hAnsi="Times New Roman" w:cs="Times New Roman"/>
            <w:noProof/>
            <w:sz w:val="24"/>
            <w:szCs w:val="24"/>
          </w:rPr>
          <w:t>1</w:t>
        </w:r>
        <w:r w:rsidRPr="0024086A">
          <w:rPr>
            <w:rFonts w:ascii="Times New Roman" w:hAnsi="Times New Roman" w:cs="Times New Roman"/>
            <w:noProof/>
            <w:sz w:val="24"/>
            <w:szCs w:val="24"/>
          </w:rPr>
          <w:fldChar w:fldCharType="end"/>
        </w:r>
      </w:sdtContent>
    </w:sdt>
  </w:p>
  <w:p w:rsidR="00456C1F" w:rsidRDefault="00456C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480"/>
    <w:rsid w:val="0003220C"/>
    <w:rsid w:val="000E36EF"/>
    <w:rsid w:val="001364DE"/>
    <w:rsid w:val="0017564C"/>
    <w:rsid w:val="001A761D"/>
    <w:rsid w:val="001D1C1C"/>
    <w:rsid w:val="001E573D"/>
    <w:rsid w:val="001F283C"/>
    <w:rsid w:val="0022679E"/>
    <w:rsid w:val="002305B2"/>
    <w:rsid w:val="0024086A"/>
    <w:rsid w:val="00244119"/>
    <w:rsid w:val="002A165C"/>
    <w:rsid w:val="002F2D68"/>
    <w:rsid w:val="002F6FA9"/>
    <w:rsid w:val="00322451"/>
    <w:rsid w:val="00387564"/>
    <w:rsid w:val="00410B9D"/>
    <w:rsid w:val="004214AB"/>
    <w:rsid w:val="00427FAB"/>
    <w:rsid w:val="00456C1F"/>
    <w:rsid w:val="0049448C"/>
    <w:rsid w:val="004C3DF2"/>
    <w:rsid w:val="0050329B"/>
    <w:rsid w:val="005450B1"/>
    <w:rsid w:val="00584638"/>
    <w:rsid w:val="005862D0"/>
    <w:rsid w:val="00654D33"/>
    <w:rsid w:val="00660122"/>
    <w:rsid w:val="0069325E"/>
    <w:rsid w:val="006B39EC"/>
    <w:rsid w:val="006E1620"/>
    <w:rsid w:val="006E1645"/>
    <w:rsid w:val="007250E7"/>
    <w:rsid w:val="00746465"/>
    <w:rsid w:val="007821D4"/>
    <w:rsid w:val="007E6774"/>
    <w:rsid w:val="007F1A60"/>
    <w:rsid w:val="008B15C1"/>
    <w:rsid w:val="008B2222"/>
    <w:rsid w:val="008F3D70"/>
    <w:rsid w:val="00977AE3"/>
    <w:rsid w:val="00996B12"/>
    <w:rsid w:val="00996B24"/>
    <w:rsid w:val="009B5C35"/>
    <w:rsid w:val="009C620D"/>
    <w:rsid w:val="009D3956"/>
    <w:rsid w:val="009F240B"/>
    <w:rsid w:val="00A0096C"/>
    <w:rsid w:val="00A3493C"/>
    <w:rsid w:val="00A37425"/>
    <w:rsid w:val="00A80480"/>
    <w:rsid w:val="00A91F0E"/>
    <w:rsid w:val="00AB6E9D"/>
    <w:rsid w:val="00AD7507"/>
    <w:rsid w:val="00B030CE"/>
    <w:rsid w:val="00BA0472"/>
    <w:rsid w:val="00BA6ED4"/>
    <w:rsid w:val="00BD669A"/>
    <w:rsid w:val="00C35D95"/>
    <w:rsid w:val="00C8343E"/>
    <w:rsid w:val="00CC3418"/>
    <w:rsid w:val="00CD6B31"/>
    <w:rsid w:val="00CF20EB"/>
    <w:rsid w:val="00D25A1A"/>
    <w:rsid w:val="00D82711"/>
    <w:rsid w:val="00D973CA"/>
    <w:rsid w:val="00DA1D8C"/>
    <w:rsid w:val="00DA6205"/>
    <w:rsid w:val="00DA723C"/>
    <w:rsid w:val="00DE342E"/>
    <w:rsid w:val="00EB5612"/>
    <w:rsid w:val="00F6147A"/>
    <w:rsid w:val="00F75F7F"/>
    <w:rsid w:val="00F85619"/>
    <w:rsid w:val="00F86B33"/>
    <w:rsid w:val="00F90DFF"/>
    <w:rsid w:val="00F91450"/>
    <w:rsid w:val="00FC7CC4"/>
    <w:rsid w:val="00FF3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86A"/>
  </w:style>
  <w:style w:type="paragraph" w:styleId="Footer">
    <w:name w:val="footer"/>
    <w:basedOn w:val="Normal"/>
    <w:link w:val="FooterChar"/>
    <w:uiPriority w:val="99"/>
    <w:unhideWhenUsed/>
    <w:rsid w:val="00240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86A"/>
  </w:style>
  <w:style w:type="paragraph" w:styleId="BalloonText">
    <w:name w:val="Balloon Text"/>
    <w:basedOn w:val="Normal"/>
    <w:link w:val="BalloonTextChar"/>
    <w:uiPriority w:val="99"/>
    <w:semiHidden/>
    <w:unhideWhenUsed/>
    <w:rsid w:val="00240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86A"/>
  </w:style>
  <w:style w:type="paragraph" w:styleId="Footer">
    <w:name w:val="footer"/>
    <w:basedOn w:val="Normal"/>
    <w:link w:val="FooterChar"/>
    <w:uiPriority w:val="99"/>
    <w:unhideWhenUsed/>
    <w:rsid w:val="00240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86A"/>
  </w:style>
  <w:style w:type="paragraph" w:styleId="BalloonText">
    <w:name w:val="Balloon Text"/>
    <w:basedOn w:val="Normal"/>
    <w:link w:val="BalloonTextChar"/>
    <w:uiPriority w:val="99"/>
    <w:semiHidden/>
    <w:unhideWhenUsed/>
    <w:rsid w:val="00240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1716</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2019-11-03T04:12:00Z</dcterms:created>
  <dcterms:modified xsi:type="dcterms:W3CDTF">2019-11-03T04:12:00Z</dcterms:modified>
</cp:coreProperties>
</file>