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Pr="00575F0D" w:rsidRDefault="001C25BB" w:rsidP="00324A71">
      <w:pPr>
        <w:jc w:val="center"/>
        <w:rPr>
          <w:rFonts w:ascii="Times New Roman" w:hAnsi="Times New Roman" w:cs="Times New Roman"/>
          <w:b/>
          <w:bCs/>
          <w:sz w:val="24"/>
          <w:szCs w:val="24"/>
        </w:rPr>
      </w:pPr>
      <w:r>
        <w:rPr>
          <w:rFonts w:ascii="Times New Roman" w:hAnsi="Times New Roman" w:cs="Times New Roman"/>
          <w:b/>
          <w:bCs/>
          <w:sz w:val="24"/>
          <w:szCs w:val="24"/>
        </w:rPr>
        <w:t>Hypotension</w:t>
      </w:r>
    </w:p>
    <w:p w:rsidR="00324A71" w:rsidRPr="00CA5D40" w:rsidRDefault="001C25BB" w:rsidP="00324A71">
      <w:pPr>
        <w:jc w:val="center"/>
        <w:rPr>
          <w:rFonts w:ascii="Times New Roman" w:hAnsi="Times New Roman" w:cs="Times New Roman"/>
          <w:sz w:val="24"/>
          <w:szCs w:val="24"/>
        </w:rPr>
      </w:pPr>
      <w:r w:rsidRPr="00CA5D40">
        <w:rPr>
          <w:rFonts w:ascii="Times New Roman" w:hAnsi="Times New Roman" w:cs="Times New Roman"/>
          <w:sz w:val="24"/>
          <w:szCs w:val="24"/>
        </w:rPr>
        <w:t>Student’s Name</w:t>
      </w:r>
    </w:p>
    <w:p w:rsidR="00324A71" w:rsidRPr="00CA5D40" w:rsidRDefault="001C25BB" w:rsidP="00324A71">
      <w:pPr>
        <w:jc w:val="center"/>
        <w:rPr>
          <w:rFonts w:ascii="Times New Roman" w:hAnsi="Times New Roman" w:cs="Times New Roman"/>
          <w:sz w:val="24"/>
          <w:szCs w:val="24"/>
        </w:rPr>
      </w:pPr>
      <w:r w:rsidRPr="00CA5D40">
        <w:rPr>
          <w:rFonts w:ascii="Times New Roman" w:hAnsi="Times New Roman" w:cs="Times New Roman"/>
          <w:sz w:val="24"/>
          <w:szCs w:val="24"/>
        </w:rPr>
        <w:t>Institution</w:t>
      </w:r>
      <w:r>
        <w:rPr>
          <w:rFonts w:ascii="Times New Roman" w:hAnsi="Times New Roman" w:cs="Times New Roman"/>
          <w:sz w:val="24"/>
          <w:szCs w:val="24"/>
        </w:rPr>
        <w:t>al</w:t>
      </w:r>
      <w:r w:rsidRPr="00CA5D40">
        <w:rPr>
          <w:rFonts w:ascii="Times New Roman" w:hAnsi="Times New Roman" w:cs="Times New Roman"/>
          <w:sz w:val="24"/>
          <w:szCs w:val="24"/>
        </w:rPr>
        <w:t xml:space="preserve"> Affiliation</w:t>
      </w:r>
    </w:p>
    <w:p w:rsidR="00324A71" w:rsidRDefault="001C25BB" w:rsidP="00324A71">
      <w:pPr>
        <w:jc w:val="center"/>
        <w:rPr>
          <w:b/>
          <w:bCs/>
        </w:rPr>
      </w:pPr>
      <w:r w:rsidRPr="00CA5D40">
        <w:rPr>
          <w:rFonts w:ascii="Times New Roman" w:hAnsi="Times New Roman" w:cs="Times New Roman"/>
          <w:sz w:val="24"/>
          <w:szCs w:val="24"/>
        </w:rPr>
        <w:t>Date</w:t>
      </w:r>
    </w:p>
    <w:p w:rsidR="00324A71" w:rsidRDefault="00324A71" w:rsidP="00324A71">
      <w:pPr>
        <w:jc w:val="cente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Default="00324A71">
      <w:pPr>
        <w:rPr>
          <w:b/>
          <w:bCs/>
        </w:rPr>
      </w:pPr>
    </w:p>
    <w:p w:rsidR="00324A71"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lastRenderedPageBreak/>
        <w:t>Hypotension</w:t>
      </w:r>
    </w:p>
    <w:p w:rsidR="000A59FE"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Pathophysiology</w:t>
      </w:r>
    </w:p>
    <w:p w:rsidR="00217659"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 xml:space="preserve">Hypotension is a condition that occurs when the arterial blood pressure is low. For an adult individual, hypotension is diagnosed when the systolic pressure is &lt;90mmHg, and diastolic pressure is &lt;60mmHg. Hypotension causes the blood flow to be diminished, leading to decreased oxygen delivery to the tissues and organs, leading to cellular dysfunction and damage. When there is a reduced oxygen supply, which enhances support of metabolic requirements, shock occurs. </w:t>
      </w:r>
      <w:r w:rsidR="00301018" w:rsidRPr="00324A71">
        <w:rPr>
          <w:rFonts w:ascii="Times New Roman" w:hAnsi="Times New Roman" w:cs="Times New Roman"/>
          <w:sz w:val="24"/>
          <w:szCs w:val="24"/>
        </w:rPr>
        <w:t>Reduction in arterial blood pressure is determined by vascular resistance, venous pressure, and cardiac output</w:t>
      </w:r>
      <w:r w:rsidR="000A59FE" w:rsidRPr="00324A71">
        <w:rPr>
          <w:rFonts w:ascii="Times New Roman" w:hAnsi="Times New Roman" w:cs="Times New Roman"/>
          <w:sz w:val="24"/>
          <w:szCs w:val="24"/>
        </w:rPr>
        <w:t xml:space="preserve"> (Ali et al., 2018)</w:t>
      </w:r>
      <w:r w:rsidR="00301018" w:rsidRPr="00324A71">
        <w:rPr>
          <w:rFonts w:ascii="Times New Roman" w:hAnsi="Times New Roman" w:cs="Times New Roman"/>
          <w:sz w:val="24"/>
          <w:szCs w:val="24"/>
        </w:rPr>
        <w:t>. Therefore, these variables can lead to hypotension. Five main factors lead to the occurrence of hypotension among different people. These factors include diminished cardiac output, low blood volume (hypovolemia), vascular obstruction, decreased systemic vascular resistance, and blood volume redistribution.</w:t>
      </w:r>
    </w:p>
    <w:p w:rsidR="00217659" w:rsidRPr="00324A71" w:rsidRDefault="00301018"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A decreased cardiac output that is not compensated by the neurohumoral reflexes leads to hypotension</w:t>
      </w:r>
      <w:r w:rsidR="007364DB" w:rsidRPr="00324A71">
        <w:rPr>
          <w:rFonts w:ascii="Times New Roman" w:hAnsi="Times New Roman" w:cs="Times New Roman"/>
          <w:sz w:val="24"/>
          <w:szCs w:val="24"/>
        </w:rPr>
        <w:t xml:space="preserve"> leading to shock. Suppose a problem influences the existing cardiac output impairment in the heart's ability to pump blood, such as heart diseases or arrhythmias. In that case, cardiogenic shock is suggested to explain the origin of the shock. Bradycardia, which is caused by the slow sinus rate or atrioventricular block, which decreases ventricular rate influences decreased cardiac output. Tachycardia leads to diminished stroke volume, which reduces cardiac output. In ventricular fibrillation, cardiac output is affected to zero. Cardiac diseases lead to diastolic and systolic function impairment, which diminishes the cardiac output and arterial pressure. Valve diseases and congenital defects </w:t>
      </w:r>
      <w:r w:rsidR="00200590" w:rsidRPr="00324A71">
        <w:rPr>
          <w:rFonts w:ascii="Times New Roman" w:hAnsi="Times New Roman" w:cs="Times New Roman"/>
          <w:sz w:val="24"/>
          <w:szCs w:val="24"/>
        </w:rPr>
        <w:t xml:space="preserve">lead to the impaired ventricular filling, which reduces cardiac output. The presence of vascular problems can cause hypotension. Hypovolemia is one of the vascular problems that is associated with hypotension. Hypovolemia arises from orthostatic volume or blood loss, which decreases the </w:t>
      </w:r>
      <w:r w:rsidR="00200590" w:rsidRPr="00324A71">
        <w:rPr>
          <w:rFonts w:ascii="Times New Roman" w:hAnsi="Times New Roman" w:cs="Times New Roman"/>
          <w:sz w:val="24"/>
          <w:szCs w:val="24"/>
        </w:rPr>
        <w:lastRenderedPageBreak/>
        <w:t xml:space="preserve">ventricular filling and central venous pressure, which diminishes cardiac output via the Frank-Starling mechanism. Hypovolemia is also </w:t>
      </w:r>
      <w:r w:rsidR="000B7EB8" w:rsidRPr="00324A71">
        <w:rPr>
          <w:rFonts w:ascii="Times New Roman" w:hAnsi="Times New Roman" w:cs="Times New Roman"/>
          <w:sz w:val="24"/>
          <w:szCs w:val="24"/>
        </w:rPr>
        <w:t>influenced</w:t>
      </w:r>
      <w:r w:rsidR="00200590" w:rsidRPr="00324A71">
        <w:rPr>
          <w:rFonts w:ascii="Times New Roman" w:hAnsi="Times New Roman" w:cs="Times New Roman"/>
          <w:sz w:val="24"/>
          <w:szCs w:val="24"/>
        </w:rPr>
        <w:t xml:space="preserve"> by increased water loss from the body, use of diuretics, and reduced water intake. </w:t>
      </w:r>
      <w:r w:rsidR="000B7EB8" w:rsidRPr="00324A71">
        <w:rPr>
          <w:rFonts w:ascii="Times New Roman" w:hAnsi="Times New Roman" w:cs="Times New Roman"/>
          <w:sz w:val="24"/>
          <w:szCs w:val="24"/>
        </w:rPr>
        <w:t>Hypovolemia decreases cardiac output; however, the origin of the problem is not cardiogenic. The word hypovolemic shock is used to explain the state of shock that results from hypovolemia. Vasodilation is another factor that influences hypotension due to the presence of diminished vascular resistance.</w:t>
      </w:r>
    </w:p>
    <w:p w:rsidR="00217659" w:rsidRPr="00324A71" w:rsidRDefault="000B7EB8"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The presence of systemic vasodilation can be affected by sepsis, leading to septic shock, autonomic dysfunction leading to neurogenic shock, anaphylaxis (immune reactions), which leads to anaphylactic shock the use of medications such as antihypertensive vasodilators</w:t>
      </w:r>
      <w:r w:rsidR="000A59FE" w:rsidRPr="00324A71">
        <w:rPr>
          <w:rFonts w:ascii="Times New Roman" w:hAnsi="Times New Roman" w:cs="Times New Roman"/>
          <w:sz w:val="24"/>
          <w:szCs w:val="24"/>
        </w:rPr>
        <w:t xml:space="preserve"> (Ali et al., 2018)</w:t>
      </w:r>
      <w:r w:rsidRPr="00324A71">
        <w:rPr>
          <w:rFonts w:ascii="Times New Roman" w:hAnsi="Times New Roman" w:cs="Times New Roman"/>
          <w:sz w:val="24"/>
          <w:szCs w:val="24"/>
        </w:rPr>
        <w:t>. These specific factors that influence vasodilation are grouped as a distributive shock. Vascular obstruction, such as pulmonary embolism is another origin of hypotension. Obstructions are commonly affected by blood clots in the veins, such as in deep vein thrombosis. These emboli can travel to the right side of the heart and causes embolism in the pulmonary arteries. When embolism occurs to the heart</w:t>
      </w:r>
      <w:r w:rsidR="007420DA" w:rsidRPr="00324A71">
        <w:rPr>
          <w:rFonts w:ascii="Times New Roman" w:hAnsi="Times New Roman" w:cs="Times New Roman"/>
          <w:sz w:val="24"/>
          <w:szCs w:val="24"/>
        </w:rPr>
        <w:t>, venous return to the left ventricle decreases, which causes diminished arterial pressure and cardiac output. Risk factors for hypotension include cardiac diseases, dehydration, poor nutrition, severe allergic reactions, bleeding, and endocrine abnormalities.</w:t>
      </w:r>
    </w:p>
    <w:p w:rsidR="000A59FE"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Plan</w:t>
      </w:r>
    </w:p>
    <w:p w:rsidR="000A59FE"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Differential Diagnosis</w:t>
      </w:r>
    </w:p>
    <w:p w:rsidR="000A59FE"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Anemia</w:t>
      </w:r>
    </w:p>
    <w:p w:rsidR="000A59FE"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Anemia is a condition where there is a lack of enough blood cells to enhance oxygen distribution in the body organs and tissues. In a blood test, anemia is described as a condition associated with low hematocrit and hemoglobin levels. Anemia signs and symptoms include dizziness, headache, pain, weakness, cold feet and hands, pale skin, dyspnea, joint and chest pain</w:t>
      </w:r>
      <w:r w:rsidR="000C1924" w:rsidRPr="00324A71">
        <w:rPr>
          <w:rFonts w:ascii="Times New Roman" w:hAnsi="Times New Roman" w:cs="Times New Roman"/>
          <w:sz w:val="24"/>
          <w:szCs w:val="24"/>
        </w:rPr>
        <w:t xml:space="preserve"> (Chaparro &amp; Suchdev, 2019)</w:t>
      </w:r>
      <w:r w:rsidRPr="00324A71">
        <w:rPr>
          <w:rFonts w:ascii="Times New Roman" w:hAnsi="Times New Roman" w:cs="Times New Roman"/>
          <w:sz w:val="24"/>
          <w:szCs w:val="24"/>
        </w:rPr>
        <w:t xml:space="preserve">. However, different forms of anemia lead to various </w:t>
      </w:r>
      <w:r w:rsidRPr="00324A71">
        <w:rPr>
          <w:rFonts w:ascii="Times New Roman" w:hAnsi="Times New Roman" w:cs="Times New Roman"/>
          <w:sz w:val="24"/>
          <w:szCs w:val="24"/>
        </w:rPr>
        <w:lastRenderedPageBreak/>
        <w:t xml:space="preserve">symptoms. Aplastic anemia leads to fever, skin rashes, and consistent infections. Folic acid deficiency anemia leads to smooth tongues, diarrhea, and irritability. Hemolytic anemia causes abdominal pain, fever, dark urine, and jaundice. Sickle cell anemia leads to jaundice, fatigue, and edema.  </w:t>
      </w:r>
      <w:r w:rsidR="000C1924" w:rsidRPr="00324A71">
        <w:rPr>
          <w:rFonts w:ascii="Times New Roman" w:hAnsi="Times New Roman" w:cs="Times New Roman"/>
          <w:sz w:val="24"/>
          <w:szCs w:val="24"/>
        </w:rPr>
        <w:t>The patient presents with complaints of dizziness, which is one of the significant elements of anemia. However, the occurrence of dizziness when she stands too fast suggests the exclusion of anemia as the actual diagnosis—however, anemia heave to be assessed through tests to ensure that it is confirmed to be absent.</w:t>
      </w:r>
    </w:p>
    <w:p w:rsidR="000C1924"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Hypoglycemia</w:t>
      </w:r>
    </w:p>
    <w:p w:rsidR="000C1924"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Hypoglycemia is a condition that is characterized by low blood sugar, which is less than 3.9mmol/L. The disease's presence leads to clinical manifestations such as seizures, loss of consciousness, confusion, and clumsiness</w:t>
      </w:r>
      <w:r w:rsidR="001870DD" w:rsidRPr="00324A71">
        <w:rPr>
          <w:rFonts w:ascii="Times New Roman" w:hAnsi="Times New Roman" w:cs="Times New Roman"/>
          <w:sz w:val="24"/>
          <w:szCs w:val="24"/>
        </w:rPr>
        <w:t xml:space="preserve"> (Kalra et al., 2013)</w:t>
      </w:r>
      <w:r w:rsidRPr="00324A71">
        <w:rPr>
          <w:rFonts w:ascii="Times New Roman" w:hAnsi="Times New Roman" w:cs="Times New Roman"/>
          <w:sz w:val="24"/>
          <w:szCs w:val="24"/>
        </w:rPr>
        <w:t xml:space="preserve">. More so, it is characterized by polydipsia, sweating, shaking, and fatigue. The common cause of hypoglycemia is the use of diabetic medications such as sulfonylureas and insulin. The risk of developing the condition occurs in diabetic patients who have not taken enough food, drunk alcohol, or have engaged in excess physical activity. </w:t>
      </w:r>
      <w:r w:rsidR="001870DD" w:rsidRPr="00324A71">
        <w:rPr>
          <w:rFonts w:ascii="Times New Roman" w:hAnsi="Times New Roman" w:cs="Times New Roman"/>
          <w:sz w:val="24"/>
          <w:szCs w:val="24"/>
        </w:rPr>
        <w:t>Also, infections, metabolic diseases, starvation, hypothyroidism, and tumors expose individuals to hypoglycemia. The patient presents with dizziness, which is a clinical manifestation. However, its orthostatic feature rules out the presence of hypoglycemia; however, it is significant to enhance tests for blood glucose levels to confirm the absence of the condition.</w:t>
      </w:r>
    </w:p>
    <w:p w:rsidR="002A78A9"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Dehydration</w:t>
      </w:r>
    </w:p>
    <w:p w:rsidR="002A78A9"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 xml:space="preserve">The human body is made of 75% water, and when the water is reduced, physiological defects occur. Dehydration is a condition that occurs when fluid output is more than input leading to fewer water levels in the body. Depending on the water loss, dehydration can be mild, moderate, or severe. Mild to moderate dehydration is characterized by muscle cramps, headache, dry skin, dark yellow urine, dry skin membranes, reduced </w:t>
      </w:r>
      <w:r w:rsidRPr="00324A71">
        <w:rPr>
          <w:rFonts w:ascii="Times New Roman" w:hAnsi="Times New Roman" w:cs="Times New Roman"/>
          <w:sz w:val="24"/>
          <w:szCs w:val="24"/>
        </w:rPr>
        <w:lastRenderedPageBreak/>
        <w:t>urination, and thirst</w:t>
      </w:r>
      <w:r w:rsidR="00B01CC8" w:rsidRPr="00324A71">
        <w:rPr>
          <w:rFonts w:ascii="Times New Roman" w:hAnsi="Times New Roman" w:cs="Times New Roman"/>
          <w:sz w:val="24"/>
          <w:szCs w:val="24"/>
        </w:rPr>
        <w:t xml:space="preserve"> (Shaheen et al., 2018)</w:t>
      </w:r>
      <w:r w:rsidRPr="00324A71">
        <w:rPr>
          <w:rFonts w:ascii="Times New Roman" w:hAnsi="Times New Roman" w:cs="Times New Roman"/>
          <w:sz w:val="24"/>
          <w:szCs w:val="24"/>
        </w:rPr>
        <w:t xml:space="preserve">. Severe dehydration is characterized by fainting, confusion, irritability, sunken eyes, dyspnea, palpitations, dizziness, dehydrated skin, and oliguria. </w:t>
      </w:r>
      <w:r w:rsidR="00D00D8E" w:rsidRPr="00324A71">
        <w:rPr>
          <w:rFonts w:ascii="Times New Roman" w:hAnsi="Times New Roman" w:cs="Times New Roman"/>
          <w:sz w:val="24"/>
          <w:szCs w:val="24"/>
        </w:rPr>
        <w:t>This condition is significant for the patient as it presents with similar symptoms as hypotension due to decreased blood volume, which is a causative factor for hypotension.</w:t>
      </w:r>
    </w:p>
    <w:p w:rsidR="00B01CC8"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Diagnosis</w:t>
      </w:r>
    </w:p>
    <w:p w:rsidR="00B01CC8"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The main goal for enhancing the diagnosis of hypotension in the patient is to confirm the condition and improve the disease's early treatment. Initial management of the patient will improve the effectiveness of the treatment leading to positive outcomes. Various diagnostic procedures will be done for the patient to enhance the confirmation of the patient's condition. They include:</w:t>
      </w:r>
    </w:p>
    <w:p w:rsidR="00B01CC8" w:rsidRPr="00324A71" w:rsidRDefault="001C25BB" w:rsidP="00324A71">
      <w:pPr>
        <w:pStyle w:val="ListParagraph"/>
        <w:numPr>
          <w:ilvl w:val="0"/>
          <w:numId w:val="1"/>
        </w:numPr>
        <w:spacing w:after="0" w:line="480" w:lineRule="auto"/>
        <w:ind w:left="0" w:firstLine="851"/>
        <w:rPr>
          <w:rFonts w:ascii="Times New Roman" w:hAnsi="Times New Roman" w:cs="Times New Roman"/>
          <w:sz w:val="24"/>
          <w:szCs w:val="24"/>
        </w:rPr>
      </w:pPr>
      <w:r w:rsidRPr="00324A71">
        <w:rPr>
          <w:rFonts w:ascii="Times New Roman" w:hAnsi="Times New Roman" w:cs="Times New Roman"/>
          <w:sz w:val="24"/>
          <w:szCs w:val="24"/>
        </w:rPr>
        <w:t>Monitoring of the blood pressure- blood pressure monitoring is among the best strategies to enhance the diagnosis of hypotension. The blood pressure machine will provide reliable information concerning the blood pressure ranges for the patient. However, for the diagnosis of hypotension, there is a technique that a health provider should use to confirm the presence of the condition. The measurement of blood pressure will be done when the patient is sitting and standing, and the measurement compared</w:t>
      </w:r>
      <w:r w:rsidR="00CA6E66" w:rsidRPr="00324A71">
        <w:rPr>
          <w:rFonts w:ascii="Times New Roman" w:hAnsi="Times New Roman" w:cs="Times New Roman"/>
          <w:sz w:val="24"/>
          <w:szCs w:val="24"/>
        </w:rPr>
        <w:t xml:space="preserve"> (Ali et al., 2018)</w:t>
      </w:r>
      <w:r w:rsidRPr="00324A71">
        <w:rPr>
          <w:rFonts w:ascii="Times New Roman" w:hAnsi="Times New Roman" w:cs="Times New Roman"/>
          <w:sz w:val="24"/>
          <w:szCs w:val="24"/>
        </w:rPr>
        <w:t>. If there is a drop of 20mmHg systolic pressure and 10mmHg diastolic pressure within 2-5 minutes of standing, the diagnosis of hypotension is made.</w:t>
      </w:r>
    </w:p>
    <w:p w:rsidR="00B01CC8" w:rsidRPr="00324A71" w:rsidRDefault="001C25BB" w:rsidP="00324A71">
      <w:pPr>
        <w:pStyle w:val="ListParagraph"/>
        <w:numPr>
          <w:ilvl w:val="0"/>
          <w:numId w:val="1"/>
        </w:numPr>
        <w:spacing w:after="0" w:line="480" w:lineRule="auto"/>
        <w:ind w:left="0" w:firstLine="851"/>
        <w:rPr>
          <w:rFonts w:ascii="Times New Roman" w:hAnsi="Times New Roman" w:cs="Times New Roman"/>
          <w:sz w:val="24"/>
          <w:szCs w:val="24"/>
        </w:rPr>
      </w:pPr>
      <w:r w:rsidRPr="00324A71">
        <w:rPr>
          <w:rFonts w:ascii="Times New Roman" w:hAnsi="Times New Roman" w:cs="Times New Roman"/>
          <w:sz w:val="24"/>
          <w:szCs w:val="24"/>
        </w:rPr>
        <w:t>Blood tests- the blood tests provide information concerning the overall health of the patient. Different blood tests can be carried out to</w:t>
      </w:r>
      <w:r w:rsidR="00BD1325" w:rsidRPr="00324A71">
        <w:rPr>
          <w:rFonts w:ascii="Times New Roman" w:hAnsi="Times New Roman" w:cs="Times New Roman"/>
          <w:sz w:val="24"/>
          <w:szCs w:val="24"/>
        </w:rPr>
        <w:t xml:space="preserve"> rule out the presence of other related conditions and the presence of hypotension</w:t>
      </w:r>
      <w:r w:rsidRPr="00324A71">
        <w:rPr>
          <w:rFonts w:ascii="Times New Roman" w:hAnsi="Times New Roman" w:cs="Times New Roman"/>
          <w:sz w:val="24"/>
          <w:szCs w:val="24"/>
        </w:rPr>
        <w:t xml:space="preserve">. </w:t>
      </w:r>
      <w:r w:rsidR="00BD1325" w:rsidRPr="00324A71">
        <w:rPr>
          <w:rFonts w:ascii="Times New Roman" w:hAnsi="Times New Roman" w:cs="Times New Roman"/>
          <w:sz w:val="24"/>
          <w:szCs w:val="24"/>
        </w:rPr>
        <w:t>Blood cell count provides the information concerning the number of red blood cells present in the blood to rule out anemia. More so, low blood cell count can suggest hypotension as it influences decreased blood pressure. Blood chemistry, such as cholesterol, creatinine, sodium, and potassium, provides essential information concerning the condition</w:t>
      </w:r>
      <w:r w:rsidR="00CA6E66" w:rsidRPr="00324A71">
        <w:rPr>
          <w:rFonts w:ascii="Times New Roman" w:hAnsi="Times New Roman" w:cs="Times New Roman"/>
          <w:sz w:val="24"/>
          <w:szCs w:val="24"/>
        </w:rPr>
        <w:t xml:space="preserve"> (Ali et al., 2018)</w:t>
      </w:r>
      <w:r w:rsidR="00BD1325" w:rsidRPr="00324A71">
        <w:rPr>
          <w:rFonts w:ascii="Times New Roman" w:hAnsi="Times New Roman" w:cs="Times New Roman"/>
          <w:sz w:val="24"/>
          <w:szCs w:val="24"/>
        </w:rPr>
        <w:t xml:space="preserve">. A blood glucose test is a significant </w:t>
      </w:r>
      <w:r w:rsidR="00BD1325" w:rsidRPr="00324A71">
        <w:rPr>
          <w:rFonts w:ascii="Times New Roman" w:hAnsi="Times New Roman" w:cs="Times New Roman"/>
          <w:sz w:val="24"/>
          <w:szCs w:val="24"/>
        </w:rPr>
        <w:lastRenderedPageBreak/>
        <w:t>test that should not be ignored to exclude hypoglycemia, which presents with similar manifestations as hypoglycemia.</w:t>
      </w:r>
    </w:p>
    <w:p w:rsidR="00BD1325" w:rsidRPr="00324A71" w:rsidRDefault="001C25BB" w:rsidP="00324A71">
      <w:pPr>
        <w:pStyle w:val="ListParagraph"/>
        <w:numPr>
          <w:ilvl w:val="0"/>
          <w:numId w:val="1"/>
        </w:numPr>
        <w:spacing w:after="0" w:line="480" w:lineRule="auto"/>
        <w:ind w:left="0" w:firstLine="851"/>
        <w:rPr>
          <w:rFonts w:ascii="Times New Roman" w:hAnsi="Times New Roman" w:cs="Times New Roman"/>
          <w:sz w:val="24"/>
          <w:szCs w:val="24"/>
        </w:rPr>
      </w:pPr>
      <w:r w:rsidRPr="00324A71">
        <w:rPr>
          <w:rFonts w:ascii="Times New Roman" w:hAnsi="Times New Roman" w:cs="Times New Roman"/>
          <w:sz w:val="24"/>
          <w:szCs w:val="24"/>
        </w:rPr>
        <w:t>Electrocardiogram (ECG)</w:t>
      </w:r>
      <w:r w:rsidR="009B63A5" w:rsidRPr="00324A71">
        <w:rPr>
          <w:rFonts w:ascii="Times New Roman" w:hAnsi="Times New Roman" w:cs="Times New Roman"/>
          <w:sz w:val="24"/>
          <w:szCs w:val="24"/>
        </w:rPr>
        <w:t xml:space="preserve"> and Echocardiogram</w:t>
      </w:r>
      <w:r w:rsidRPr="00324A71">
        <w:rPr>
          <w:rFonts w:ascii="Times New Roman" w:hAnsi="Times New Roman" w:cs="Times New Roman"/>
          <w:sz w:val="24"/>
          <w:szCs w:val="24"/>
        </w:rPr>
        <w:t xml:space="preserve">- </w:t>
      </w:r>
      <w:r w:rsidR="009B63A5" w:rsidRPr="00324A71">
        <w:rPr>
          <w:rFonts w:ascii="Times New Roman" w:hAnsi="Times New Roman" w:cs="Times New Roman"/>
          <w:sz w:val="24"/>
          <w:szCs w:val="24"/>
        </w:rPr>
        <w:t>ECG</w:t>
      </w:r>
      <w:r w:rsidRPr="00324A71">
        <w:rPr>
          <w:rFonts w:ascii="Times New Roman" w:hAnsi="Times New Roman" w:cs="Times New Roman"/>
          <w:sz w:val="24"/>
          <w:szCs w:val="24"/>
        </w:rPr>
        <w:t xml:space="preserve"> test provides information concerning</w:t>
      </w:r>
      <w:r w:rsidR="009B63A5" w:rsidRPr="00324A71">
        <w:rPr>
          <w:rFonts w:ascii="Times New Roman" w:hAnsi="Times New Roman" w:cs="Times New Roman"/>
          <w:sz w:val="24"/>
          <w:szCs w:val="24"/>
        </w:rPr>
        <w:t xml:space="preserve"> the abnormalities of the heart structures and rhythm, which leads to challenges in blood supply. An echocardiogram provides images of the heart to detect the anomalies of the heart.</w:t>
      </w:r>
    </w:p>
    <w:p w:rsidR="009B63A5" w:rsidRPr="00324A71" w:rsidRDefault="001C25BB" w:rsidP="00324A71">
      <w:pPr>
        <w:pStyle w:val="ListParagraph"/>
        <w:numPr>
          <w:ilvl w:val="0"/>
          <w:numId w:val="1"/>
        </w:numPr>
        <w:spacing w:after="0" w:line="480" w:lineRule="auto"/>
        <w:ind w:left="0" w:firstLine="851"/>
        <w:rPr>
          <w:rFonts w:ascii="Times New Roman" w:hAnsi="Times New Roman" w:cs="Times New Roman"/>
          <w:sz w:val="24"/>
          <w:szCs w:val="24"/>
        </w:rPr>
      </w:pPr>
      <w:r w:rsidRPr="00324A71">
        <w:rPr>
          <w:rFonts w:ascii="Times New Roman" w:hAnsi="Times New Roman" w:cs="Times New Roman"/>
          <w:sz w:val="24"/>
          <w:szCs w:val="24"/>
        </w:rPr>
        <w:t>Tilt table test- this assessment strategy evaluates the reaction of the body to changes in positions. When the patient lies on a table that changes positions, the blood pressure is measured at different positions to evaluate the changes.</w:t>
      </w:r>
    </w:p>
    <w:p w:rsidR="00CA6E66"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Medical Management</w:t>
      </w:r>
    </w:p>
    <w:p w:rsidR="00CA6E66"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 xml:space="preserve">The medical management of hypotension involves two main medications. One of the used drugs that have been suggested to be effective in treating hypotension is fludrocortisone. Fludrocortisone is a steroid drug that can be used to enhance the elevation of blood pressure. The drug promotes fluid retention </w:t>
      </w:r>
      <w:r w:rsidR="00D644FF" w:rsidRPr="00324A71">
        <w:rPr>
          <w:rFonts w:ascii="Times New Roman" w:hAnsi="Times New Roman" w:cs="Times New Roman"/>
          <w:sz w:val="24"/>
          <w:szCs w:val="24"/>
        </w:rPr>
        <w:t xml:space="preserve">by reducing sodium loss through the kidneys (Ali et al., 2018). </w:t>
      </w:r>
      <w:r w:rsidRPr="00324A71">
        <w:rPr>
          <w:rFonts w:ascii="Times New Roman" w:hAnsi="Times New Roman" w:cs="Times New Roman"/>
          <w:sz w:val="24"/>
          <w:szCs w:val="24"/>
        </w:rPr>
        <w:t xml:space="preserve">Scholars have suggested the medication be useful in the management of postural hypotension. </w:t>
      </w:r>
      <w:r w:rsidR="00D644FF" w:rsidRPr="00324A71">
        <w:rPr>
          <w:rFonts w:ascii="Times New Roman" w:hAnsi="Times New Roman" w:cs="Times New Roman"/>
          <w:sz w:val="24"/>
          <w:szCs w:val="24"/>
        </w:rPr>
        <w:t xml:space="preserve">However, the patient should take enough potassium as the drug leads to more potassium loss as sodium is retained. </w:t>
      </w:r>
      <w:r w:rsidRPr="00324A71">
        <w:rPr>
          <w:rFonts w:ascii="Times New Roman" w:hAnsi="Times New Roman" w:cs="Times New Roman"/>
          <w:sz w:val="24"/>
          <w:szCs w:val="24"/>
        </w:rPr>
        <w:t xml:space="preserve">Another effective medication in the management of hypotension is </w:t>
      </w:r>
      <w:r w:rsidR="00D644FF" w:rsidRPr="00324A71">
        <w:rPr>
          <w:rFonts w:ascii="Times New Roman" w:hAnsi="Times New Roman" w:cs="Times New Roman"/>
          <w:sz w:val="24"/>
          <w:szCs w:val="24"/>
        </w:rPr>
        <w:t>midodrine, which resolves hypotension related to nervous system dysfunctions. The drug activates arterial and vein receptors to enhance increased blood pressure. Therefore, the two medications are significant in improving the management of hypotension.</w:t>
      </w:r>
    </w:p>
    <w:p w:rsidR="00D644FF"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Non-Pharmacological Management</w:t>
      </w:r>
    </w:p>
    <w:p w:rsidR="009B63A5"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 xml:space="preserve">One of the strategies used in the treatment of hypotension is increasing salt intake in the diet. The presence of sodium in the salt is linked to increased blood pressure that can resolve hypotension. However, before increasing sodium intake, an assessment of the cardiac </w:t>
      </w:r>
      <w:r w:rsidRPr="00324A71">
        <w:rPr>
          <w:rFonts w:ascii="Times New Roman" w:hAnsi="Times New Roman" w:cs="Times New Roman"/>
          <w:sz w:val="24"/>
          <w:szCs w:val="24"/>
        </w:rPr>
        <w:lastRenderedPageBreak/>
        <w:t>disease patient should be done to prevent heart failure</w:t>
      </w:r>
      <w:r w:rsidR="00BC1729" w:rsidRPr="00324A71">
        <w:rPr>
          <w:rFonts w:ascii="Times New Roman" w:hAnsi="Times New Roman" w:cs="Times New Roman"/>
          <w:sz w:val="24"/>
          <w:szCs w:val="24"/>
        </w:rPr>
        <w:t xml:space="preserve"> (Ali et al., 2018)</w:t>
      </w:r>
      <w:r w:rsidRPr="00324A71">
        <w:rPr>
          <w:rFonts w:ascii="Times New Roman" w:hAnsi="Times New Roman" w:cs="Times New Roman"/>
          <w:sz w:val="24"/>
          <w:szCs w:val="24"/>
        </w:rPr>
        <w:t>. Also, the patient should be given more fluids to increase blood volume. Wearing stockings is an effective strategy for managing hypotension as it reduces swellings from the pooling of the blood in the lower extremities.</w:t>
      </w:r>
    </w:p>
    <w:p w:rsidR="00D644FF"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Prognosis</w:t>
      </w:r>
    </w:p>
    <w:p w:rsidR="00BC1729"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In most cases, hypotension can be managed by enhancing preventive measures. Due to its orthostatic nature, the patient may need to move slowly when changing positions. More so, the condition is associated with fewer long-term complications. When an individual is affected by hypotension without any other underlying disease, recovery is quick, and complications are rare. More so, the age-related factors lead to complications of the disease in elderly patients.</w:t>
      </w:r>
    </w:p>
    <w:p w:rsidR="00BC1729"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Follow up and Referrals</w:t>
      </w:r>
    </w:p>
    <w:p w:rsidR="00BC1729" w:rsidRPr="00324A71" w:rsidRDefault="001C25BB" w:rsidP="00324A71">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 xml:space="preserve">The patient should be followed up periodically after treatment to ensure that the blood pressure is within the normal range. If the blood pressure does not recover to normal range, treatment should be changed. After adjusting the therapy, the patient should visit the health care provider for assessment at least once a year. In the follow-up visits, the patient should be assessed for kidney, brain, </w:t>
      </w:r>
      <w:r w:rsidR="00324A71" w:rsidRPr="00324A71">
        <w:rPr>
          <w:rFonts w:ascii="Times New Roman" w:hAnsi="Times New Roman" w:cs="Times New Roman"/>
          <w:sz w:val="24"/>
          <w:szCs w:val="24"/>
        </w:rPr>
        <w:t>and heart</w:t>
      </w:r>
      <w:r w:rsidRPr="00324A71">
        <w:rPr>
          <w:rFonts w:ascii="Times New Roman" w:hAnsi="Times New Roman" w:cs="Times New Roman"/>
          <w:sz w:val="24"/>
          <w:szCs w:val="24"/>
        </w:rPr>
        <w:t xml:space="preserve"> damages. </w:t>
      </w:r>
      <w:r w:rsidR="00324A71" w:rsidRPr="00324A71">
        <w:rPr>
          <w:rFonts w:ascii="Times New Roman" w:hAnsi="Times New Roman" w:cs="Times New Roman"/>
          <w:sz w:val="24"/>
          <w:szCs w:val="24"/>
        </w:rPr>
        <w:t>If the blood pressure remains uncontrolled, the patient should be referred to a cardiologist.</w:t>
      </w:r>
    </w:p>
    <w:p w:rsidR="00324A71" w:rsidRPr="00324A71" w:rsidRDefault="001C25BB" w:rsidP="00324A71">
      <w:pPr>
        <w:spacing w:after="0" w:line="480" w:lineRule="auto"/>
        <w:ind w:firstLine="851"/>
        <w:jc w:val="center"/>
        <w:rPr>
          <w:rFonts w:ascii="Times New Roman" w:hAnsi="Times New Roman" w:cs="Times New Roman"/>
          <w:b/>
          <w:bCs/>
          <w:sz w:val="24"/>
          <w:szCs w:val="24"/>
        </w:rPr>
      </w:pPr>
      <w:r w:rsidRPr="00324A71">
        <w:rPr>
          <w:rFonts w:ascii="Times New Roman" w:hAnsi="Times New Roman" w:cs="Times New Roman"/>
          <w:b/>
          <w:bCs/>
          <w:sz w:val="24"/>
          <w:szCs w:val="24"/>
        </w:rPr>
        <w:t>Patient Education</w:t>
      </w:r>
    </w:p>
    <w:p w:rsidR="002B2DF7" w:rsidRDefault="001C25BB" w:rsidP="002B2DF7">
      <w:pPr>
        <w:spacing w:after="0" w:line="480" w:lineRule="auto"/>
        <w:ind w:firstLine="851"/>
        <w:rPr>
          <w:rFonts w:ascii="Times New Roman" w:hAnsi="Times New Roman" w:cs="Times New Roman"/>
          <w:sz w:val="24"/>
          <w:szCs w:val="24"/>
        </w:rPr>
      </w:pPr>
      <w:r w:rsidRPr="00324A71">
        <w:rPr>
          <w:rFonts w:ascii="Times New Roman" w:hAnsi="Times New Roman" w:cs="Times New Roman"/>
          <w:sz w:val="24"/>
          <w:szCs w:val="24"/>
        </w:rPr>
        <w:t>The patient should be advised to consume less alcohol and more fluids. Alcohol causes dehydration, which can lead to hypovolemia (Shaheen et al., 2018). The patient should be keen on her body positions and should be advised to change positions gently. The patient should be informed to consume small carbohydrates meals to prevent blood pressure from decreasing sharply after food intake. Exercise should be suggested ranging from 30 minutes to 1 hour daily to enhance blood pressure.</w:t>
      </w:r>
    </w:p>
    <w:p w:rsidR="00324A71" w:rsidRPr="002B2DF7" w:rsidRDefault="001C25BB" w:rsidP="002B2DF7">
      <w:pPr>
        <w:spacing w:after="0" w:line="480" w:lineRule="auto"/>
        <w:ind w:firstLine="851"/>
        <w:jc w:val="center"/>
        <w:rPr>
          <w:rFonts w:ascii="Times New Roman" w:hAnsi="Times New Roman" w:cs="Times New Roman"/>
          <w:sz w:val="24"/>
          <w:szCs w:val="24"/>
        </w:rPr>
      </w:pPr>
      <w:r w:rsidRPr="00324A71">
        <w:rPr>
          <w:rFonts w:ascii="Times New Roman" w:hAnsi="Times New Roman" w:cs="Times New Roman"/>
          <w:b/>
          <w:bCs/>
          <w:sz w:val="24"/>
          <w:szCs w:val="24"/>
        </w:rPr>
        <w:lastRenderedPageBreak/>
        <w:t>References</w:t>
      </w:r>
    </w:p>
    <w:p w:rsidR="00324A71" w:rsidRPr="00324A71" w:rsidRDefault="001C25BB" w:rsidP="00324A71">
      <w:pPr>
        <w:spacing w:after="0" w:line="480" w:lineRule="auto"/>
        <w:ind w:left="851" w:hanging="851"/>
        <w:rPr>
          <w:rFonts w:ascii="Times New Roman" w:hAnsi="Times New Roman" w:cs="Times New Roman"/>
          <w:b/>
          <w:bCs/>
          <w:sz w:val="24"/>
          <w:szCs w:val="24"/>
        </w:rPr>
      </w:pPr>
      <w:r w:rsidRPr="00324A71">
        <w:rPr>
          <w:rFonts w:ascii="Times New Roman" w:hAnsi="Times New Roman" w:cs="Times New Roman"/>
          <w:sz w:val="24"/>
          <w:szCs w:val="24"/>
          <w:shd w:val="clear" w:color="auto" w:fill="FFFFFF"/>
        </w:rPr>
        <w:t>Ali, A., Ali, N. S., Waqas, N., Bhan, C., Iftikhar, W., Sapna, F., Jitidhar, F., Cheema, A. M., Ahmad, M. Q., Nasir, U., Sami, S. A., Zulfiqar, A., &amp; Ahmed, A. (2018). Management of Orthostatic Hypotension: A Literature Review. </w:t>
      </w:r>
      <w:r w:rsidRPr="00324A71">
        <w:rPr>
          <w:rFonts w:ascii="Times New Roman" w:hAnsi="Times New Roman" w:cs="Times New Roman"/>
          <w:i/>
          <w:iCs/>
          <w:sz w:val="24"/>
          <w:szCs w:val="24"/>
          <w:shd w:val="clear" w:color="auto" w:fill="FFFFFF"/>
        </w:rPr>
        <w:t>Cureus</w:t>
      </w:r>
      <w:r w:rsidRPr="00324A71">
        <w:rPr>
          <w:rFonts w:ascii="Times New Roman" w:hAnsi="Times New Roman" w:cs="Times New Roman"/>
          <w:sz w:val="24"/>
          <w:szCs w:val="24"/>
          <w:shd w:val="clear" w:color="auto" w:fill="FFFFFF"/>
        </w:rPr>
        <w:t>, </w:t>
      </w:r>
      <w:r w:rsidRPr="00324A71">
        <w:rPr>
          <w:rFonts w:ascii="Times New Roman" w:hAnsi="Times New Roman" w:cs="Times New Roman"/>
          <w:i/>
          <w:iCs/>
          <w:sz w:val="24"/>
          <w:szCs w:val="24"/>
          <w:shd w:val="clear" w:color="auto" w:fill="FFFFFF"/>
        </w:rPr>
        <w:t>10</w:t>
      </w:r>
      <w:r w:rsidRPr="00324A71">
        <w:rPr>
          <w:rFonts w:ascii="Times New Roman" w:hAnsi="Times New Roman" w:cs="Times New Roman"/>
          <w:sz w:val="24"/>
          <w:szCs w:val="24"/>
          <w:shd w:val="clear" w:color="auto" w:fill="FFFFFF"/>
        </w:rPr>
        <w:t>(8), e3166. https://doi.org/10.7759/cureus.3166</w:t>
      </w:r>
    </w:p>
    <w:p w:rsidR="00324A71" w:rsidRPr="00324A71" w:rsidRDefault="001C25BB" w:rsidP="00324A71">
      <w:pPr>
        <w:spacing w:after="0" w:line="480" w:lineRule="auto"/>
        <w:ind w:left="851" w:hanging="851"/>
        <w:rPr>
          <w:rFonts w:ascii="Times New Roman" w:hAnsi="Times New Roman" w:cs="Times New Roman"/>
          <w:sz w:val="24"/>
          <w:szCs w:val="24"/>
          <w:shd w:val="clear" w:color="auto" w:fill="FFFFFF"/>
        </w:rPr>
      </w:pPr>
      <w:r w:rsidRPr="00324A71">
        <w:rPr>
          <w:rFonts w:ascii="Times New Roman" w:hAnsi="Times New Roman" w:cs="Times New Roman"/>
          <w:sz w:val="24"/>
          <w:szCs w:val="24"/>
          <w:shd w:val="clear" w:color="auto" w:fill="FFFFFF"/>
        </w:rPr>
        <w:t>Chaparro, C. M., &amp; Suchdev, P. S. (2019). Anemia epidemiology, pathophysiology, and etiology in low- and middle-income countries. </w:t>
      </w:r>
      <w:r w:rsidRPr="00324A71">
        <w:rPr>
          <w:rFonts w:ascii="Times New Roman" w:hAnsi="Times New Roman" w:cs="Times New Roman"/>
          <w:i/>
          <w:iCs/>
          <w:sz w:val="24"/>
          <w:szCs w:val="24"/>
          <w:shd w:val="clear" w:color="auto" w:fill="FFFFFF"/>
        </w:rPr>
        <w:t>Annals of the New York Academy of Sciences</w:t>
      </w:r>
      <w:r w:rsidRPr="00324A71">
        <w:rPr>
          <w:rFonts w:ascii="Times New Roman" w:hAnsi="Times New Roman" w:cs="Times New Roman"/>
          <w:sz w:val="24"/>
          <w:szCs w:val="24"/>
          <w:shd w:val="clear" w:color="auto" w:fill="FFFFFF"/>
        </w:rPr>
        <w:t>, </w:t>
      </w:r>
      <w:r w:rsidRPr="00324A71">
        <w:rPr>
          <w:rFonts w:ascii="Times New Roman" w:hAnsi="Times New Roman" w:cs="Times New Roman"/>
          <w:i/>
          <w:iCs/>
          <w:sz w:val="24"/>
          <w:szCs w:val="24"/>
          <w:shd w:val="clear" w:color="auto" w:fill="FFFFFF"/>
        </w:rPr>
        <w:t>1450</w:t>
      </w:r>
      <w:r w:rsidRPr="00324A71">
        <w:rPr>
          <w:rFonts w:ascii="Times New Roman" w:hAnsi="Times New Roman" w:cs="Times New Roman"/>
          <w:sz w:val="24"/>
          <w:szCs w:val="24"/>
          <w:shd w:val="clear" w:color="auto" w:fill="FFFFFF"/>
        </w:rPr>
        <w:t xml:space="preserve">(1), 15–31. </w:t>
      </w:r>
      <w:hyperlink r:id="rId7" w:history="1">
        <w:r w:rsidRPr="00324A71">
          <w:rPr>
            <w:rStyle w:val="Hyperlink"/>
            <w:rFonts w:ascii="Times New Roman" w:hAnsi="Times New Roman" w:cs="Times New Roman"/>
            <w:color w:val="auto"/>
            <w:sz w:val="24"/>
            <w:szCs w:val="24"/>
            <w:u w:val="none"/>
            <w:shd w:val="clear" w:color="auto" w:fill="FFFFFF"/>
          </w:rPr>
          <w:t>https://doi.org/10.1111/nyas.14092</w:t>
        </w:r>
      </w:hyperlink>
    </w:p>
    <w:p w:rsidR="00324A71" w:rsidRPr="00324A71" w:rsidRDefault="001C25BB" w:rsidP="00324A71">
      <w:pPr>
        <w:spacing w:after="0" w:line="480" w:lineRule="auto"/>
        <w:ind w:left="851" w:hanging="851"/>
        <w:rPr>
          <w:rFonts w:ascii="Times New Roman" w:hAnsi="Times New Roman" w:cs="Times New Roman"/>
          <w:sz w:val="24"/>
          <w:szCs w:val="24"/>
          <w:shd w:val="clear" w:color="auto" w:fill="FFFFFF"/>
        </w:rPr>
      </w:pPr>
      <w:r w:rsidRPr="00324A71">
        <w:rPr>
          <w:rFonts w:ascii="Times New Roman" w:hAnsi="Times New Roman" w:cs="Times New Roman"/>
          <w:sz w:val="24"/>
          <w:szCs w:val="24"/>
          <w:shd w:val="clear" w:color="auto" w:fill="FFFFFF"/>
        </w:rPr>
        <w:t>Kalra, S., Mukherjee, J. J., Venkataraman, S., Bantwal, G., Shaikh, S., Saboo, B., Das, A. K., &amp; Ramachandran, A. (2013). Hypoglycemia: The neglected complication. </w:t>
      </w:r>
      <w:r w:rsidRPr="00324A71">
        <w:rPr>
          <w:rFonts w:ascii="Times New Roman" w:hAnsi="Times New Roman" w:cs="Times New Roman"/>
          <w:i/>
          <w:iCs/>
          <w:sz w:val="24"/>
          <w:szCs w:val="24"/>
          <w:shd w:val="clear" w:color="auto" w:fill="FFFFFF"/>
        </w:rPr>
        <w:t>Indian journal of endocrinology and metabolism</w:t>
      </w:r>
      <w:r w:rsidRPr="00324A71">
        <w:rPr>
          <w:rFonts w:ascii="Times New Roman" w:hAnsi="Times New Roman" w:cs="Times New Roman"/>
          <w:sz w:val="24"/>
          <w:szCs w:val="24"/>
          <w:shd w:val="clear" w:color="auto" w:fill="FFFFFF"/>
        </w:rPr>
        <w:t>, </w:t>
      </w:r>
      <w:r w:rsidRPr="00324A71">
        <w:rPr>
          <w:rFonts w:ascii="Times New Roman" w:hAnsi="Times New Roman" w:cs="Times New Roman"/>
          <w:i/>
          <w:iCs/>
          <w:sz w:val="24"/>
          <w:szCs w:val="24"/>
          <w:shd w:val="clear" w:color="auto" w:fill="FFFFFF"/>
        </w:rPr>
        <w:t>17</w:t>
      </w:r>
      <w:r w:rsidRPr="00324A71">
        <w:rPr>
          <w:rFonts w:ascii="Times New Roman" w:hAnsi="Times New Roman" w:cs="Times New Roman"/>
          <w:sz w:val="24"/>
          <w:szCs w:val="24"/>
          <w:shd w:val="clear" w:color="auto" w:fill="FFFFFF"/>
        </w:rPr>
        <w:t xml:space="preserve">(5), 819–834. </w:t>
      </w:r>
      <w:hyperlink r:id="rId8" w:history="1">
        <w:r w:rsidRPr="00324A71">
          <w:rPr>
            <w:rStyle w:val="Hyperlink"/>
            <w:rFonts w:ascii="Times New Roman" w:hAnsi="Times New Roman" w:cs="Times New Roman"/>
            <w:color w:val="auto"/>
            <w:sz w:val="24"/>
            <w:szCs w:val="24"/>
            <w:u w:val="none"/>
            <w:shd w:val="clear" w:color="auto" w:fill="FFFFFF"/>
          </w:rPr>
          <w:t>https://doi.org/10.4103/2230-8210.117219</w:t>
        </w:r>
      </w:hyperlink>
    </w:p>
    <w:p w:rsidR="00324A71" w:rsidRPr="00324A71" w:rsidRDefault="001C25BB" w:rsidP="00324A71">
      <w:pPr>
        <w:spacing w:after="0" w:line="480" w:lineRule="auto"/>
        <w:ind w:left="851" w:hanging="851"/>
        <w:rPr>
          <w:rFonts w:ascii="Times New Roman" w:hAnsi="Times New Roman" w:cs="Times New Roman"/>
          <w:sz w:val="24"/>
          <w:szCs w:val="24"/>
          <w:shd w:val="clear" w:color="auto" w:fill="FFFFFF"/>
        </w:rPr>
      </w:pPr>
      <w:r w:rsidRPr="00324A71">
        <w:rPr>
          <w:rFonts w:ascii="Times New Roman" w:hAnsi="Times New Roman" w:cs="Times New Roman"/>
          <w:sz w:val="24"/>
          <w:szCs w:val="24"/>
          <w:shd w:val="clear" w:color="auto" w:fill="FFFFFF"/>
        </w:rPr>
        <w:t>Shaheen, N. A., Alqahtani, A. A., Assiri, H., Alkhodair, R., &amp; Hussein, M. A. (2018). Public knowledge of dehydration and fluid intake practices: variation by participants' characteristics. </w:t>
      </w:r>
      <w:r w:rsidRPr="00324A71">
        <w:rPr>
          <w:rFonts w:ascii="Times New Roman" w:hAnsi="Times New Roman" w:cs="Times New Roman"/>
          <w:i/>
          <w:iCs/>
          <w:sz w:val="24"/>
          <w:szCs w:val="24"/>
          <w:shd w:val="clear" w:color="auto" w:fill="FFFFFF"/>
        </w:rPr>
        <w:t>BMC public health</w:t>
      </w:r>
      <w:r w:rsidRPr="00324A71">
        <w:rPr>
          <w:rFonts w:ascii="Times New Roman" w:hAnsi="Times New Roman" w:cs="Times New Roman"/>
          <w:sz w:val="24"/>
          <w:szCs w:val="24"/>
          <w:shd w:val="clear" w:color="auto" w:fill="FFFFFF"/>
        </w:rPr>
        <w:t>, </w:t>
      </w:r>
      <w:r w:rsidRPr="00324A71">
        <w:rPr>
          <w:rFonts w:ascii="Times New Roman" w:hAnsi="Times New Roman" w:cs="Times New Roman"/>
          <w:i/>
          <w:iCs/>
          <w:sz w:val="24"/>
          <w:szCs w:val="24"/>
          <w:shd w:val="clear" w:color="auto" w:fill="FFFFFF"/>
        </w:rPr>
        <w:t>18</w:t>
      </w:r>
      <w:r w:rsidRPr="00324A71">
        <w:rPr>
          <w:rFonts w:ascii="Times New Roman" w:hAnsi="Times New Roman" w:cs="Times New Roman"/>
          <w:sz w:val="24"/>
          <w:szCs w:val="24"/>
          <w:shd w:val="clear" w:color="auto" w:fill="FFFFFF"/>
        </w:rPr>
        <w:t xml:space="preserve">(1), 1346. </w:t>
      </w:r>
      <w:hyperlink r:id="rId9" w:history="1">
        <w:r w:rsidRPr="00324A71">
          <w:rPr>
            <w:rStyle w:val="Hyperlink"/>
            <w:rFonts w:ascii="Times New Roman" w:hAnsi="Times New Roman" w:cs="Times New Roman"/>
            <w:color w:val="auto"/>
            <w:sz w:val="24"/>
            <w:szCs w:val="24"/>
            <w:u w:val="none"/>
            <w:shd w:val="clear" w:color="auto" w:fill="FFFFFF"/>
          </w:rPr>
          <w:t>https://doi.org/10.1186/s12889-018-6252-5</w:t>
        </w:r>
      </w:hyperlink>
    </w:p>
    <w:sectPr w:rsidR="00324A71" w:rsidRPr="00324A71" w:rsidSect="00622428">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F82" w:rsidRDefault="00EE0F82">
      <w:pPr>
        <w:spacing w:after="0" w:line="240" w:lineRule="auto"/>
      </w:pPr>
      <w:r>
        <w:separator/>
      </w:r>
    </w:p>
  </w:endnote>
  <w:endnote w:type="continuationSeparator" w:id="1">
    <w:p w:rsidR="00EE0F82" w:rsidRDefault="00EE0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F82" w:rsidRDefault="00EE0F82">
      <w:pPr>
        <w:spacing w:after="0" w:line="240" w:lineRule="auto"/>
      </w:pPr>
      <w:r>
        <w:separator/>
      </w:r>
    </w:p>
  </w:footnote>
  <w:footnote w:type="continuationSeparator" w:id="1">
    <w:p w:rsidR="00EE0F82" w:rsidRDefault="00EE0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189596"/>
      <w:docPartObj>
        <w:docPartGallery w:val="Page Numbers (Top of Page)"/>
        <w:docPartUnique/>
      </w:docPartObj>
    </w:sdtPr>
    <w:sdtEndPr>
      <w:rPr>
        <w:rFonts w:ascii="Times New Roman" w:hAnsi="Times New Roman" w:cs="Times New Roman"/>
        <w:noProof/>
        <w:sz w:val="24"/>
        <w:szCs w:val="24"/>
      </w:rPr>
    </w:sdtEndPr>
    <w:sdtContent>
      <w:p w:rsidR="00324A71" w:rsidRPr="00324A71" w:rsidRDefault="00A9416E">
        <w:pPr>
          <w:pStyle w:val="Header"/>
          <w:jc w:val="right"/>
          <w:rPr>
            <w:rFonts w:ascii="Times New Roman" w:hAnsi="Times New Roman" w:cs="Times New Roman"/>
            <w:sz w:val="24"/>
            <w:szCs w:val="24"/>
          </w:rPr>
        </w:pPr>
        <w:r w:rsidRPr="00324A71">
          <w:rPr>
            <w:rFonts w:ascii="Times New Roman" w:hAnsi="Times New Roman" w:cs="Times New Roman"/>
            <w:sz w:val="24"/>
            <w:szCs w:val="24"/>
          </w:rPr>
          <w:fldChar w:fldCharType="begin"/>
        </w:r>
        <w:r w:rsidR="001C25BB" w:rsidRPr="00324A71">
          <w:rPr>
            <w:rFonts w:ascii="Times New Roman" w:hAnsi="Times New Roman" w:cs="Times New Roman"/>
            <w:sz w:val="24"/>
            <w:szCs w:val="24"/>
          </w:rPr>
          <w:instrText xml:space="preserve"> PAGE   \* MERGEFORMAT </w:instrText>
        </w:r>
        <w:r w:rsidRPr="00324A71">
          <w:rPr>
            <w:rFonts w:ascii="Times New Roman" w:hAnsi="Times New Roman" w:cs="Times New Roman"/>
            <w:sz w:val="24"/>
            <w:szCs w:val="24"/>
          </w:rPr>
          <w:fldChar w:fldCharType="separate"/>
        </w:r>
        <w:r w:rsidR="00586CF1">
          <w:rPr>
            <w:rFonts w:ascii="Times New Roman" w:hAnsi="Times New Roman" w:cs="Times New Roman"/>
            <w:noProof/>
            <w:sz w:val="24"/>
            <w:szCs w:val="24"/>
          </w:rPr>
          <w:t>1</w:t>
        </w:r>
        <w:r w:rsidRPr="00324A71">
          <w:rPr>
            <w:rFonts w:ascii="Times New Roman" w:hAnsi="Times New Roman" w:cs="Times New Roman"/>
            <w:noProof/>
            <w:sz w:val="24"/>
            <w:szCs w:val="24"/>
          </w:rPr>
          <w:fldChar w:fldCharType="end"/>
        </w:r>
      </w:p>
    </w:sdtContent>
  </w:sdt>
  <w:p w:rsidR="00324A71" w:rsidRDefault="00324A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4C54AF"/>
    <w:multiLevelType w:val="hybridMultilevel"/>
    <w:tmpl w:val="C2B40E4E"/>
    <w:lvl w:ilvl="0" w:tplc="1C96E9E0">
      <w:start w:val="1"/>
      <w:numFmt w:val="decimal"/>
      <w:lvlText w:val="%1."/>
      <w:lvlJc w:val="left"/>
      <w:pPr>
        <w:ind w:left="720" w:hanging="360"/>
      </w:pPr>
      <w:rPr>
        <w:rFonts w:hint="default"/>
      </w:rPr>
    </w:lvl>
    <w:lvl w:ilvl="1" w:tplc="D974C130" w:tentative="1">
      <w:start w:val="1"/>
      <w:numFmt w:val="lowerLetter"/>
      <w:lvlText w:val="%2."/>
      <w:lvlJc w:val="left"/>
      <w:pPr>
        <w:ind w:left="1440" w:hanging="360"/>
      </w:pPr>
    </w:lvl>
    <w:lvl w:ilvl="2" w:tplc="D65073E0" w:tentative="1">
      <w:start w:val="1"/>
      <w:numFmt w:val="lowerRoman"/>
      <w:lvlText w:val="%3."/>
      <w:lvlJc w:val="right"/>
      <w:pPr>
        <w:ind w:left="2160" w:hanging="180"/>
      </w:pPr>
    </w:lvl>
    <w:lvl w:ilvl="3" w:tplc="D5C6A368" w:tentative="1">
      <w:start w:val="1"/>
      <w:numFmt w:val="decimal"/>
      <w:lvlText w:val="%4."/>
      <w:lvlJc w:val="left"/>
      <w:pPr>
        <w:ind w:left="2880" w:hanging="360"/>
      </w:pPr>
    </w:lvl>
    <w:lvl w:ilvl="4" w:tplc="507C0A4A" w:tentative="1">
      <w:start w:val="1"/>
      <w:numFmt w:val="lowerLetter"/>
      <w:lvlText w:val="%5."/>
      <w:lvlJc w:val="left"/>
      <w:pPr>
        <w:ind w:left="3600" w:hanging="360"/>
      </w:pPr>
    </w:lvl>
    <w:lvl w:ilvl="5" w:tplc="27D21708" w:tentative="1">
      <w:start w:val="1"/>
      <w:numFmt w:val="lowerRoman"/>
      <w:lvlText w:val="%6."/>
      <w:lvlJc w:val="right"/>
      <w:pPr>
        <w:ind w:left="4320" w:hanging="180"/>
      </w:pPr>
    </w:lvl>
    <w:lvl w:ilvl="6" w:tplc="0600A928" w:tentative="1">
      <w:start w:val="1"/>
      <w:numFmt w:val="decimal"/>
      <w:lvlText w:val="%7."/>
      <w:lvlJc w:val="left"/>
      <w:pPr>
        <w:ind w:left="5040" w:hanging="360"/>
      </w:pPr>
    </w:lvl>
    <w:lvl w:ilvl="7" w:tplc="129C42D2" w:tentative="1">
      <w:start w:val="1"/>
      <w:numFmt w:val="lowerLetter"/>
      <w:lvlText w:val="%8."/>
      <w:lvlJc w:val="left"/>
      <w:pPr>
        <w:ind w:left="5760" w:hanging="360"/>
      </w:pPr>
    </w:lvl>
    <w:lvl w:ilvl="8" w:tplc="DA32616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7659"/>
    <w:rsid w:val="000A59FE"/>
    <w:rsid w:val="000B7EB8"/>
    <w:rsid w:val="000C1924"/>
    <w:rsid w:val="001870DD"/>
    <w:rsid w:val="001C25BB"/>
    <w:rsid w:val="00200590"/>
    <w:rsid w:val="00217659"/>
    <w:rsid w:val="002A78A9"/>
    <w:rsid w:val="002B2DF7"/>
    <w:rsid w:val="00301018"/>
    <w:rsid w:val="00324A71"/>
    <w:rsid w:val="00417012"/>
    <w:rsid w:val="004B16BC"/>
    <w:rsid w:val="00575F0D"/>
    <w:rsid w:val="00586CF1"/>
    <w:rsid w:val="00622428"/>
    <w:rsid w:val="007364DB"/>
    <w:rsid w:val="007420DA"/>
    <w:rsid w:val="007E79B4"/>
    <w:rsid w:val="00851DFF"/>
    <w:rsid w:val="008C28C7"/>
    <w:rsid w:val="009B63A5"/>
    <w:rsid w:val="00A91269"/>
    <w:rsid w:val="00A9416E"/>
    <w:rsid w:val="00B01CC8"/>
    <w:rsid w:val="00BC1729"/>
    <w:rsid w:val="00BD1325"/>
    <w:rsid w:val="00CA5D40"/>
    <w:rsid w:val="00CA6E66"/>
    <w:rsid w:val="00D00D8E"/>
    <w:rsid w:val="00D644FF"/>
    <w:rsid w:val="00EA0DFB"/>
    <w:rsid w:val="00EE0F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4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CC8"/>
    <w:pPr>
      <w:ind w:left="720"/>
      <w:contextualSpacing/>
    </w:pPr>
  </w:style>
  <w:style w:type="character" w:styleId="Hyperlink">
    <w:name w:val="Hyperlink"/>
    <w:basedOn w:val="DefaultParagraphFont"/>
    <w:uiPriority w:val="99"/>
    <w:unhideWhenUsed/>
    <w:rsid w:val="00324A71"/>
    <w:rPr>
      <w:color w:val="0563C1" w:themeColor="hyperlink"/>
      <w:u w:val="single"/>
    </w:rPr>
  </w:style>
  <w:style w:type="character" w:customStyle="1" w:styleId="UnresolvedMention1">
    <w:name w:val="Unresolved Mention1"/>
    <w:basedOn w:val="DefaultParagraphFont"/>
    <w:uiPriority w:val="99"/>
    <w:semiHidden/>
    <w:unhideWhenUsed/>
    <w:rsid w:val="00324A71"/>
    <w:rPr>
      <w:color w:val="605E5C"/>
      <w:shd w:val="clear" w:color="auto" w:fill="E1DFDD"/>
    </w:rPr>
  </w:style>
  <w:style w:type="paragraph" w:styleId="Header">
    <w:name w:val="header"/>
    <w:basedOn w:val="Normal"/>
    <w:link w:val="HeaderChar"/>
    <w:uiPriority w:val="99"/>
    <w:unhideWhenUsed/>
    <w:rsid w:val="00324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A71"/>
  </w:style>
  <w:style w:type="paragraph" w:styleId="Footer">
    <w:name w:val="footer"/>
    <w:basedOn w:val="Normal"/>
    <w:link w:val="FooterChar"/>
    <w:uiPriority w:val="99"/>
    <w:unhideWhenUsed/>
    <w:rsid w:val="00324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A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103/2230-8210.117219" TargetMode="External"/><Relationship Id="rId3" Type="http://schemas.openxmlformats.org/officeDocument/2006/relationships/settings" Target="settings.xml"/><Relationship Id="rId7" Type="http://schemas.openxmlformats.org/officeDocument/2006/relationships/hyperlink" Target="https://doi.org/10.1111/nyas.14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86/s12889-018-62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1942</Words>
  <Characters>11071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2020-12-01T05:25:00Z</dcterms:created>
  <dcterms:modified xsi:type="dcterms:W3CDTF">2020-12-01T05:25:00Z</dcterms:modified>
</cp:coreProperties>
</file>