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Pr="009E4AF6" w:rsidRDefault="00646B49" w:rsidP="00BF4714">
      <w:pPr>
        <w:spacing w:line="480" w:lineRule="auto"/>
        <w:jc w:val="center"/>
        <w:rPr>
          <w:rFonts w:ascii="Times New Roman" w:hAnsi="Times New Roman" w:cs="Times New Roman"/>
          <w:b/>
          <w:bCs/>
          <w:color w:val="000000" w:themeColor="text1"/>
          <w:sz w:val="24"/>
          <w:szCs w:val="24"/>
        </w:rPr>
      </w:pPr>
      <w:r w:rsidRPr="009E4AF6">
        <w:rPr>
          <w:rFonts w:ascii="Times New Roman" w:hAnsi="Times New Roman" w:cs="Times New Roman"/>
          <w:b/>
          <w:bCs/>
          <w:color w:val="000000" w:themeColor="text1"/>
          <w:sz w:val="24"/>
          <w:szCs w:val="24"/>
        </w:rPr>
        <w:t>Case Study: Hypothyroidism</w:t>
      </w:r>
    </w:p>
    <w:p w:rsidR="00BF4714" w:rsidRPr="00124337" w:rsidRDefault="00646B49" w:rsidP="00BF4714">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BF4714" w:rsidRPr="00124337" w:rsidRDefault="00646B49" w:rsidP="00BF4714">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BF4714" w:rsidRPr="00124337" w:rsidRDefault="00646B49" w:rsidP="00BF4714">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BF4714" w:rsidRDefault="00BF4714" w:rsidP="00BF4714">
      <w:pPr>
        <w:spacing w:after="0" w:line="480" w:lineRule="auto"/>
        <w:ind w:firstLine="720"/>
        <w:jc w:val="center"/>
        <w:rPr>
          <w:rFonts w:ascii="Times New Roman" w:hAnsi="Times New Roman" w:cs="Times New Roman"/>
          <w:bCs/>
          <w:color w:val="000000" w:themeColor="text1"/>
          <w:sz w:val="24"/>
          <w:szCs w:val="24"/>
        </w:rPr>
      </w:pPr>
    </w:p>
    <w:p w:rsidR="00BF4714" w:rsidRDefault="00BF4714" w:rsidP="00BF4714">
      <w:pPr>
        <w:spacing w:after="0" w:line="480" w:lineRule="auto"/>
        <w:ind w:firstLine="720"/>
        <w:jc w:val="center"/>
        <w:rPr>
          <w:rFonts w:ascii="Times New Roman" w:hAnsi="Times New Roman" w:cs="Times New Roman"/>
          <w:bCs/>
          <w:color w:val="000000" w:themeColor="text1"/>
          <w:sz w:val="24"/>
          <w:szCs w:val="24"/>
        </w:rPr>
      </w:pPr>
    </w:p>
    <w:p w:rsidR="00BF4714" w:rsidRDefault="00BF4714" w:rsidP="00BF4714">
      <w:pPr>
        <w:jc w:val="center"/>
      </w:pPr>
    </w:p>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Default="00BF4714"/>
    <w:p w:rsidR="00BF4714"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lastRenderedPageBreak/>
        <w:t>Case Study: Hypothyroidism</w:t>
      </w:r>
    </w:p>
    <w:p w:rsidR="00107020"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A 57 years old </w:t>
      </w:r>
      <w:r w:rsidR="00C84FB8" w:rsidRPr="00BF4714">
        <w:rPr>
          <w:rFonts w:ascii="Times New Roman" w:hAnsi="Times New Roman" w:cs="Times New Roman"/>
          <w:color w:val="000000" w:themeColor="text1"/>
          <w:sz w:val="24"/>
          <w:szCs w:val="24"/>
        </w:rPr>
        <w:t xml:space="preserve">male </w:t>
      </w:r>
      <w:r w:rsidRPr="00BF4714">
        <w:rPr>
          <w:rFonts w:ascii="Times New Roman" w:hAnsi="Times New Roman" w:cs="Times New Roman"/>
          <w:color w:val="000000" w:themeColor="text1"/>
          <w:sz w:val="24"/>
          <w:szCs w:val="24"/>
        </w:rPr>
        <w:t xml:space="preserve">patient presents with a history of nausea, constipation, and abdominal pain for three days. There is an absence of a history of diuretics or laxatives use; urinary, respiratory, or diarrhea symptoms and fever history. On physical examination, dehydration signs are confirmed (presence of dry mucous membrane and sunken eyes) and skin </w:t>
      </w:r>
      <w:r w:rsidR="00263B99" w:rsidRPr="00BF4714">
        <w:rPr>
          <w:rFonts w:ascii="Times New Roman" w:hAnsi="Times New Roman" w:cs="Times New Roman"/>
          <w:color w:val="000000" w:themeColor="text1"/>
          <w:sz w:val="24"/>
          <w:szCs w:val="24"/>
        </w:rPr>
        <w:t>hyper pigmentation</w:t>
      </w:r>
      <w:r w:rsidRPr="00BF4714">
        <w:rPr>
          <w:rFonts w:ascii="Times New Roman" w:hAnsi="Times New Roman" w:cs="Times New Roman"/>
          <w:color w:val="000000" w:themeColor="text1"/>
          <w:sz w:val="24"/>
          <w:szCs w:val="24"/>
        </w:rPr>
        <w:t>. The patient is febrile with a capillary refill of fewer than two seconds, a heart rate of 102 beats per minute, and a blood pressure of 102/86mmHg. The patient weighs 158lb (72kg). The rest of the findings for the physical assessment are normal.</w:t>
      </w:r>
    </w:p>
    <w:p w:rsidR="00C16F23"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Pathophysiology of Hypothyroidism</w:t>
      </w:r>
    </w:p>
    <w:p w:rsidR="00C16F23"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Hypothyroidism is a metabolic condition where there is a deficiency of T3 (triiodothyronine) and T4 (thyroxine). The two enzymes influence the metabolic process and enhance the consumption of oxygen in everybody's tissues. The enzymes also influence bone development, linear growth, and brain function, such as dentition, neural development, memory, and intelligence. The thyroid gland is essential in producing T3 and T4 from the utilization of iodide obtained from dietary sources or metabolism of thyroid hormones. The epithelial cells in the thyroid gland are supported by Na/I symporter to concentrate the iodide 40 times </w:t>
      </w:r>
      <w:r w:rsidR="00146C84" w:rsidRPr="00BF4714">
        <w:rPr>
          <w:rFonts w:ascii="Times New Roman" w:hAnsi="Times New Roman" w:cs="Times New Roman"/>
          <w:color w:val="000000" w:themeColor="text1"/>
          <w:sz w:val="24"/>
          <w:szCs w:val="24"/>
        </w:rPr>
        <w:t>than the level in plasma, which ensures that enough level is established for the production of thyroid hormone</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Kostoglou-Athanassiou&amp;Ntalles,2010)</w:t>
      </w:r>
      <w:r w:rsidR="00146C84" w:rsidRPr="00BF4714">
        <w:rPr>
          <w:rFonts w:ascii="Times New Roman" w:hAnsi="Times New Roman" w:cs="Times New Roman"/>
          <w:color w:val="000000" w:themeColor="text1"/>
          <w:sz w:val="24"/>
          <w:szCs w:val="24"/>
        </w:rPr>
        <w:t>. Enzyme thyroid peroxidase oxidizes iodide to iodine. Iodine goes through organic reactions in the thyroid gland to enhance the production of T3 and T4. Normal individuals produce an estimate of 30-35 µg of T3 and 90 to 100 µg of T4 every day. Eighty percent of T3 produced daily is from the peripheral metabolism T4 and only 20% from the thyroid gland's direct secretion.</w:t>
      </w:r>
    </w:p>
    <w:p w:rsidR="00C06C7B"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The pathophysiology of hypothyroidism is explained in two different parts; primary and secondary hypothyroidism. A diseased thyroid</w:t>
      </w:r>
      <w:r w:rsidR="000E0D5B" w:rsidRPr="00BF4714">
        <w:rPr>
          <w:rFonts w:ascii="Times New Roman" w:hAnsi="Times New Roman" w:cs="Times New Roman"/>
          <w:color w:val="000000" w:themeColor="text1"/>
          <w:sz w:val="24"/>
          <w:szCs w:val="24"/>
        </w:rPr>
        <w:t xml:space="preserve"> gland causes primary hypothyroidism. It occurs when TSH (thyroid-stimulating hormone) increases. The underlying cause of this </w:t>
      </w:r>
      <w:r w:rsidR="000E0D5B" w:rsidRPr="00BF4714">
        <w:rPr>
          <w:rFonts w:ascii="Times New Roman" w:hAnsi="Times New Roman" w:cs="Times New Roman"/>
          <w:color w:val="000000" w:themeColor="text1"/>
          <w:sz w:val="24"/>
          <w:szCs w:val="24"/>
        </w:rPr>
        <w:lastRenderedPageBreak/>
        <w:t>process is the presence of autoimmunity from conditions like goiter and Hashimoto thyroiditis. The second common cause is the presence of post-therapeutic hypothyroidism, most commonly after surgery of goiter or hyperthyroidism and radioactive iodine therapy. The overtreatment using medications such as iodine abates, methimazole, and propylthiouracil influences the disease</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Kostoglou-Athanassiou&amp;Ntalles, 2010)</w:t>
      </w:r>
      <w:r w:rsidR="000E0D5B" w:rsidRPr="00BF4714">
        <w:rPr>
          <w:rFonts w:ascii="Times New Roman" w:hAnsi="Times New Roman" w:cs="Times New Roman"/>
          <w:color w:val="000000" w:themeColor="text1"/>
          <w:sz w:val="24"/>
          <w:szCs w:val="24"/>
        </w:rPr>
        <w:t xml:space="preserve">. Goitrous hypothyroidism occurs due to a deficiency of iodine. Iodine deficiency diminishes the thyroid's hormonogenesis, and in response, TSH is released, causing the thyroid gland to enlarge and trap iodine, which results in goiter. The deficiency of iodine leads to the </w:t>
      </w:r>
      <w:r w:rsidR="00FB57E2" w:rsidRPr="00BF4714">
        <w:rPr>
          <w:rFonts w:ascii="Times New Roman" w:hAnsi="Times New Roman" w:cs="Times New Roman"/>
          <w:color w:val="000000" w:themeColor="text1"/>
          <w:sz w:val="24"/>
          <w:szCs w:val="24"/>
        </w:rPr>
        <w:t xml:space="preserve">presence of congenital hypothyroidism. The presence of enzymatic defects is another cause that initiates the disease process because it alters the production of thyroid hormone. In secondary hypothyroidism, the disease process is influenced by TRH's insufficient production (thyrotropin-releasing hormone) from the hypothalamus. TRH influences the secretion of TSH from the thyroid gland. In turn, TSH enhances the production and release of thyroid hormone. Therefore, when TRH is insufficient, the results will be secondary hyperthyroidism. </w:t>
      </w:r>
      <w:r w:rsidRPr="00BF4714">
        <w:rPr>
          <w:rFonts w:ascii="Times New Roman" w:hAnsi="Times New Roman" w:cs="Times New Roman"/>
          <w:color w:val="000000" w:themeColor="text1"/>
          <w:sz w:val="24"/>
          <w:szCs w:val="24"/>
        </w:rPr>
        <w:t xml:space="preserve">Therefore, hypothyroidism occurs from a process where the thyroid gland is underactive, </w:t>
      </w:r>
      <w:r w:rsidR="00F708B2" w:rsidRPr="00BF4714">
        <w:rPr>
          <w:rFonts w:ascii="Times New Roman" w:hAnsi="Times New Roman" w:cs="Times New Roman"/>
          <w:color w:val="000000" w:themeColor="text1"/>
          <w:sz w:val="24"/>
          <w:szCs w:val="24"/>
        </w:rPr>
        <w:t>leading to low production of T3 and T4.</w:t>
      </w:r>
    </w:p>
    <w:p w:rsidR="00C06C7B" w:rsidRPr="00BF4714" w:rsidRDefault="00F708B2"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In some cases, hormones' production may be satisfactory, but there can be an existing peripheral effect of thyroid hormones</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Kostoglou-Athanassiou&amp;Ntalles, 2010)</w:t>
      </w:r>
      <w:r w:rsidRPr="00BF4714">
        <w:rPr>
          <w:rFonts w:ascii="Times New Roman" w:hAnsi="Times New Roman" w:cs="Times New Roman"/>
          <w:color w:val="000000" w:themeColor="text1"/>
          <w:sz w:val="24"/>
          <w:szCs w:val="24"/>
        </w:rPr>
        <w:t>. The disease can be congenital or acquired; congenital disease occurs from aplasia or dysplasia while acquired from autoimmune conditions such as Hashimoto thyroiditis. The clinical findings linked to the disease include periorbital edema, weight gain, intolerance, and fatigue.</w:t>
      </w:r>
    </w:p>
    <w:p w:rsidR="00F708B2"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Differential Diagnosis</w:t>
      </w:r>
    </w:p>
    <w:p w:rsidR="00F708B2" w:rsidRPr="00BF4714" w:rsidRDefault="00646B49" w:rsidP="00BF4714">
      <w:pPr>
        <w:pStyle w:val="ListParagraph"/>
        <w:numPr>
          <w:ilvl w:val="0"/>
          <w:numId w:val="1"/>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Vitamin D deficiency- vitamin D is a significant element in enhancing the development of strong bones. The deficiency of vitamin D is associated with </w:t>
      </w:r>
      <w:r w:rsidR="00153270" w:rsidRPr="00BF4714">
        <w:rPr>
          <w:rFonts w:ascii="Times New Roman" w:hAnsi="Times New Roman" w:cs="Times New Roman"/>
          <w:color w:val="000000" w:themeColor="text1"/>
          <w:sz w:val="24"/>
          <w:szCs w:val="24"/>
        </w:rPr>
        <w:t xml:space="preserve">rickets, a condition where the bone does not mineralize well, leading to skeletal deformities. </w:t>
      </w:r>
      <w:r w:rsidR="00153270" w:rsidRPr="00BF4714">
        <w:rPr>
          <w:rFonts w:ascii="Times New Roman" w:hAnsi="Times New Roman" w:cs="Times New Roman"/>
          <w:color w:val="000000" w:themeColor="text1"/>
          <w:sz w:val="24"/>
          <w:szCs w:val="24"/>
        </w:rPr>
        <w:lastRenderedPageBreak/>
        <w:t>The main symptoms associated with vitamin D deficiency include fatigue and bone pain</w:t>
      </w:r>
      <w:r w:rsidR="00BF4714" w:rsidRPr="00BF4714">
        <w:rPr>
          <w:rFonts w:ascii="Times New Roman" w:hAnsi="Times New Roman" w:cs="Times New Roman"/>
          <w:color w:val="000000" w:themeColor="text1"/>
          <w:sz w:val="24"/>
          <w:szCs w:val="24"/>
        </w:rPr>
        <w:t xml:space="preserve"> (</w:t>
      </w:r>
      <w:r w:rsidR="00BF4714" w:rsidRPr="00BF4714">
        <w:rPr>
          <w:rFonts w:ascii="Times New Roman" w:hAnsi="Times New Roman" w:cs="Times New Roman"/>
          <w:color w:val="000000" w:themeColor="text1"/>
          <w:sz w:val="24"/>
          <w:szCs w:val="24"/>
          <w:shd w:val="clear" w:color="auto" w:fill="FFFFFF"/>
        </w:rPr>
        <w:t>Gani&amp; How, 2015)</w:t>
      </w:r>
      <w:r w:rsidR="00153270" w:rsidRPr="00BF4714">
        <w:rPr>
          <w:rFonts w:ascii="Times New Roman" w:hAnsi="Times New Roman" w:cs="Times New Roman"/>
          <w:color w:val="000000" w:themeColor="text1"/>
          <w:sz w:val="24"/>
          <w:szCs w:val="24"/>
        </w:rPr>
        <w:t xml:space="preserve">. The condition is liked to factors such as poor vitamin D intake, lack of exposure to sunlight, and a dark complexion. </w:t>
      </w:r>
      <w:r w:rsidR="00995A6E" w:rsidRPr="00BF4714">
        <w:rPr>
          <w:rFonts w:ascii="Times New Roman" w:hAnsi="Times New Roman" w:cs="Times New Roman"/>
          <w:color w:val="000000" w:themeColor="text1"/>
          <w:sz w:val="24"/>
          <w:szCs w:val="24"/>
        </w:rPr>
        <w:t>Most of the patients with Hashimoto disease have lower levels of vitamin D. Vitamin D deficiency is acknowledged as a significant condition that presents with similar clinical manifestations as hypothyroidism, including intolerance and fatigue.</w:t>
      </w:r>
    </w:p>
    <w:p w:rsidR="00995A6E" w:rsidRPr="00BF4714" w:rsidRDefault="00646B49" w:rsidP="00BF4714">
      <w:pPr>
        <w:pStyle w:val="ListParagraph"/>
        <w:numPr>
          <w:ilvl w:val="0"/>
          <w:numId w:val="1"/>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Dehydration is another clinical condition that can be confused when the patient's assessment is not done effectively. Dehydration occurs when a person loses excess fluid in the body than the one ingested. The body required enough fluids to ensure that it can perform its normal physiological functions. When lost fluids are not replaced, a person becomes dehydrated and physiological processes are affected. Anyone can be dehydrated; however, young children and older adults are at more risk. The most common cause is vomiting and diarrhea. Old individuals have less water volume, and when they are affected by illnesses, they become dehydrated easily</w:t>
      </w:r>
      <w:r w:rsidR="00BF4714" w:rsidRPr="00BF4714">
        <w:rPr>
          <w:rFonts w:ascii="Times New Roman" w:hAnsi="Times New Roman" w:cs="Times New Roman"/>
          <w:color w:val="000000" w:themeColor="text1"/>
          <w:sz w:val="24"/>
          <w:szCs w:val="24"/>
        </w:rPr>
        <w:t xml:space="preserve"> (</w:t>
      </w:r>
      <w:r w:rsidR="00BF4714" w:rsidRPr="00BF4714">
        <w:rPr>
          <w:rFonts w:ascii="Times New Roman" w:hAnsi="Times New Roman" w:cs="Times New Roman"/>
          <w:color w:val="000000" w:themeColor="text1"/>
          <w:sz w:val="24"/>
          <w:szCs w:val="24"/>
          <w:shd w:val="clear" w:color="auto" w:fill="FFFFFF"/>
        </w:rPr>
        <w:t>Shaheen et al., 2018)</w:t>
      </w:r>
      <w:r w:rsidRPr="00BF4714">
        <w:rPr>
          <w:rFonts w:ascii="Times New Roman" w:hAnsi="Times New Roman" w:cs="Times New Roman"/>
          <w:color w:val="000000" w:themeColor="text1"/>
          <w:sz w:val="24"/>
          <w:szCs w:val="24"/>
        </w:rPr>
        <w:t xml:space="preserve">. The clinical manifestations include irritability, sunken eyes, lack of tearing while crying, dry tongue or mouth, and </w:t>
      </w:r>
      <w:r w:rsidR="00701D0F" w:rsidRPr="00BF4714">
        <w:rPr>
          <w:rFonts w:ascii="Times New Roman" w:hAnsi="Times New Roman" w:cs="Times New Roman"/>
          <w:color w:val="000000" w:themeColor="text1"/>
          <w:sz w:val="24"/>
          <w:szCs w:val="24"/>
        </w:rPr>
        <w:t xml:space="preserve">skin pinch that goes back slowly. </w:t>
      </w:r>
    </w:p>
    <w:p w:rsidR="00701D0F" w:rsidRPr="00BF4714" w:rsidRDefault="00646B49" w:rsidP="00BF4714">
      <w:pPr>
        <w:pStyle w:val="ListParagraph"/>
        <w:numPr>
          <w:ilvl w:val="0"/>
          <w:numId w:val="1"/>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Adrenal insufficiency is a condition where the adrenal glands do not produce enough steroid hormones (cortisol and aldosterone). Congenital adrenal hyperplasia and Addison's disease can present as adrenal insufficiency. If not managed, adrenal insufficiency results in shock, personality and mood changes, kidney failure, weight loss, hypotension, fatigue and muscle weakness, vomiting, and abdominal pain</w:t>
      </w:r>
      <w:r w:rsidR="00BF4714" w:rsidRPr="00BF4714">
        <w:rPr>
          <w:rFonts w:ascii="Times New Roman" w:hAnsi="Times New Roman" w:cs="Times New Roman"/>
          <w:color w:val="000000" w:themeColor="text1"/>
          <w:sz w:val="24"/>
          <w:szCs w:val="24"/>
        </w:rPr>
        <w:t xml:space="preserve"> (</w:t>
      </w:r>
      <w:r w:rsidR="00BF4714" w:rsidRPr="00BF4714">
        <w:rPr>
          <w:rFonts w:ascii="Times New Roman" w:hAnsi="Times New Roman" w:cs="Times New Roman"/>
          <w:color w:val="000000" w:themeColor="text1"/>
          <w:sz w:val="24"/>
          <w:szCs w:val="24"/>
          <w:shd w:val="clear" w:color="auto" w:fill="FFFFFF"/>
        </w:rPr>
        <w:t>Pazderska&amp; Pearce, 2017)</w:t>
      </w:r>
      <w:r w:rsidRPr="00BF4714">
        <w:rPr>
          <w:rFonts w:ascii="Times New Roman" w:hAnsi="Times New Roman" w:cs="Times New Roman"/>
          <w:color w:val="000000" w:themeColor="text1"/>
          <w:sz w:val="24"/>
          <w:szCs w:val="24"/>
        </w:rPr>
        <w:t>. The main cause of the condition is the abrupt withdrawal of long-term therapy of corticosteroids, stress, and Waterhouse-Friedrichsen syndrome. For chronic disease, the major contributing factors are metastatic diseases, tuberculosis, HIV/AIDS, and autoimmune adrenalitis.</w:t>
      </w:r>
    </w:p>
    <w:p w:rsidR="00701D0F"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lastRenderedPageBreak/>
        <w:t>Plan</w:t>
      </w:r>
    </w:p>
    <w:p w:rsidR="00701D0F"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Diagnosis</w:t>
      </w:r>
    </w:p>
    <w:p w:rsidR="000622CB" w:rsidRPr="00BF4714" w:rsidRDefault="00646B49" w:rsidP="00BF4714">
      <w:pPr>
        <w:pStyle w:val="ListParagraph"/>
        <w:numPr>
          <w:ilvl w:val="0"/>
          <w:numId w:val="2"/>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History and Physical examination- The history involves overall health, family history, past thyroid surgery, radiation for treatment of neck malignancy, and the medications that the patient has been taking</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Chiovato,Magri&amp;Carlé, 2019)</w:t>
      </w:r>
      <w:r w:rsidRPr="00BF4714">
        <w:rPr>
          <w:rFonts w:ascii="Times New Roman" w:hAnsi="Times New Roman" w:cs="Times New Roman"/>
          <w:color w:val="000000" w:themeColor="text1"/>
          <w:sz w:val="24"/>
          <w:szCs w:val="24"/>
        </w:rPr>
        <w:t>. Physical examination elements that are helpful in diagnosis include assessment of dehydration, edema of the lower limbs and eyes, reduced heart rate, and diminished reflexes.</w:t>
      </w:r>
    </w:p>
    <w:p w:rsidR="00701D0F" w:rsidRPr="00BF4714" w:rsidRDefault="00646B49" w:rsidP="00BF4714">
      <w:pPr>
        <w:pStyle w:val="ListParagraph"/>
        <w:numPr>
          <w:ilvl w:val="0"/>
          <w:numId w:val="2"/>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Blood tests- The diagnosis of hypothyroidism depends on the blood test results, which evaluates the level of TSH and thyroid hormones. One of the blood tests that is done to evaluate the presence of hypothyroidism is the TSH test. TSH test measures the level of T4 that the thyroid gland is signaled to produce. When there is an increased level of TSH in the blood, it suggests the presence of hypothyroidism. Also, the T4 test is achieved through the T4 index and free T4 tests, which are combined with TSH tests, which helps to realize the functioning of the thyroid glands. When blood flows vial the pituitary gland, there is the detection of T4 levels. If the levels are adequate, the pituitary provides an appropriate amount of TSH to regulate the T4 levels. The normal range of TSH is 0.</w:t>
      </w:r>
      <w:r w:rsidR="000622CB" w:rsidRPr="00BF4714">
        <w:rPr>
          <w:rFonts w:ascii="Times New Roman" w:hAnsi="Times New Roman" w:cs="Times New Roman"/>
          <w:color w:val="000000" w:themeColor="text1"/>
          <w:sz w:val="24"/>
          <w:szCs w:val="24"/>
        </w:rPr>
        <w:t>4 to 4 Mu/l</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Chiovato,Magri&amp;Carlé, 2019)</w:t>
      </w:r>
      <w:r w:rsidR="000622CB" w:rsidRPr="00BF4714">
        <w:rPr>
          <w:rFonts w:ascii="Times New Roman" w:hAnsi="Times New Roman" w:cs="Times New Roman"/>
          <w:color w:val="000000" w:themeColor="text1"/>
          <w:sz w:val="24"/>
          <w:szCs w:val="24"/>
        </w:rPr>
        <w:t>. When the TSH level is more than 4 Mu/L, another test is done to verify the result, and if the second test reveals the same results, a diagnosis of hypothyroidism is made. However, when the TSH level is increased, there is a need to do a T4 test to measure its range. If the level of T4 is normal, the test for serum anti-thyroid peroxidase antibodies is done. When the antibodies are confirmed to be present, the indication for autoimmune thyroid disease is confirmed, which is a risk factor for hypothyroidism.</w:t>
      </w:r>
    </w:p>
    <w:p w:rsidR="000622CB" w:rsidRPr="00BF4714" w:rsidRDefault="00646B49" w:rsidP="00BF4714">
      <w:pPr>
        <w:pStyle w:val="ListParagraph"/>
        <w:numPr>
          <w:ilvl w:val="0"/>
          <w:numId w:val="2"/>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Imaging studies- imaging studies such as MRI (magnetic resonance imaging) and CT (</w:t>
      </w:r>
      <w:r w:rsidR="003113AC" w:rsidRPr="00BF4714">
        <w:rPr>
          <w:rFonts w:ascii="Times New Roman" w:hAnsi="Times New Roman" w:cs="Times New Roman"/>
          <w:color w:val="000000" w:themeColor="text1"/>
          <w:sz w:val="24"/>
          <w:szCs w:val="24"/>
        </w:rPr>
        <w:t xml:space="preserve">computed tomography) scan are essential in examining the thyroid </w:t>
      </w:r>
      <w:r w:rsidR="00263B99" w:rsidRPr="00BF4714">
        <w:rPr>
          <w:rFonts w:ascii="Times New Roman" w:hAnsi="Times New Roman" w:cs="Times New Roman"/>
          <w:color w:val="000000" w:themeColor="text1"/>
          <w:sz w:val="24"/>
          <w:szCs w:val="24"/>
        </w:rPr>
        <w:t>glands</w:t>
      </w:r>
      <w:r w:rsidR="003113AC" w:rsidRPr="00BF4714">
        <w:rPr>
          <w:rFonts w:ascii="Times New Roman" w:hAnsi="Times New Roman" w:cs="Times New Roman"/>
          <w:color w:val="000000" w:themeColor="text1"/>
          <w:sz w:val="24"/>
          <w:szCs w:val="24"/>
        </w:rPr>
        <w:t xml:space="preserve"> state to </w:t>
      </w:r>
      <w:r w:rsidR="003113AC" w:rsidRPr="00BF4714">
        <w:rPr>
          <w:rFonts w:ascii="Times New Roman" w:hAnsi="Times New Roman" w:cs="Times New Roman"/>
          <w:color w:val="000000" w:themeColor="text1"/>
          <w:sz w:val="24"/>
          <w:szCs w:val="24"/>
        </w:rPr>
        <w:lastRenderedPageBreak/>
        <w:t>diagnose hypothyroidism. The images provided show the size of thyroid glands and abnormalities to rule out other conditions that might be present such as malignancy.</w:t>
      </w:r>
    </w:p>
    <w:p w:rsidR="003113AC"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Medical Treatment</w:t>
      </w:r>
    </w:p>
    <w:p w:rsidR="003113AC"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The treatment of hypothyroidism </w:t>
      </w:r>
      <w:r w:rsidR="00F95ABA" w:rsidRPr="00BF4714">
        <w:rPr>
          <w:rFonts w:ascii="Times New Roman" w:hAnsi="Times New Roman" w:cs="Times New Roman"/>
          <w:color w:val="000000" w:themeColor="text1"/>
          <w:sz w:val="24"/>
          <w:szCs w:val="24"/>
        </w:rPr>
        <w:t>aims at providing the thyroid hormone that is in a low amount. In the present era, health workers work mostly to ensure that the disease is presented rather than focusing on treatment. There are treatment models that are assumed by the clinicians, including:</w:t>
      </w:r>
    </w:p>
    <w:p w:rsidR="00F95ABA" w:rsidRPr="00BF4714" w:rsidRDefault="00646B49" w:rsidP="00BF4714">
      <w:pPr>
        <w:pStyle w:val="ListParagraph"/>
        <w:numPr>
          <w:ilvl w:val="0"/>
          <w:numId w:val="3"/>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Synthetic thyroxine- this is a medication that is similar to the T4 hormone. The main synthetic medication provided for the treatment of hypothyroidism is levothyroxine. The medications are provided in tablet and capsule forms. For a patient who is more than 50 years of age, the initial dosage is 25-50 mcg per day</w:t>
      </w:r>
      <w:r w:rsidR="00F72D30" w:rsidRPr="00BF4714">
        <w:rPr>
          <w:rFonts w:ascii="Times New Roman" w:hAnsi="Times New Roman" w:cs="Times New Roman"/>
          <w:color w:val="000000" w:themeColor="text1"/>
          <w:sz w:val="24"/>
          <w:szCs w:val="24"/>
        </w:rPr>
        <w:t xml:space="preserve"> (Qari, 2014)</w:t>
      </w:r>
      <w:r w:rsidRPr="00BF4714">
        <w:rPr>
          <w:rFonts w:ascii="Times New Roman" w:hAnsi="Times New Roman" w:cs="Times New Roman"/>
          <w:color w:val="000000" w:themeColor="text1"/>
          <w:sz w:val="24"/>
          <w:szCs w:val="24"/>
        </w:rPr>
        <w:t xml:space="preserve">. The dosage may be adjusted later to 12.5-25 mcg for 6 to 8 weeks. </w:t>
      </w:r>
      <w:r w:rsidR="00F72D30" w:rsidRPr="00BF4714">
        <w:rPr>
          <w:rFonts w:ascii="Times New Roman" w:hAnsi="Times New Roman" w:cs="Times New Roman"/>
          <w:color w:val="000000" w:themeColor="text1"/>
          <w:sz w:val="24"/>
          <w:szCs w:val="24"/>
        </w:rPr>
        <w:t>In patients with myxedema coma, 300 to 500 mcg of IV medication is provided once a day until the patient can tolerate oral medications.</w:t>
      </w:r>
    </w:p>
    <w:p w:rsidR="00F72D30" w:rsidRPr="00BF4714" w:rsidRDefault="00646B49" w:rsidP="00BF4714">
      <w:pPr>
        <w:pStyle w:val="ListParagraph"/>
        <w:numPr>
          <w:ilvl w:val="0"/>
          <w:numId w:val="3"/>
        </w:numPr>
        <w:spacing w:after="0" w:line="480" w:lineRule="auto"/>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Iodine and dietary supplements- Iodine is a vital mineral for enhancing the functions of the thyroid gland. The most common cause of goiter is iodine deficiency. For a patient with hypothyroidism, maintaining an adequate iodine supply is significant; however, if the patient is reactive to iodine, hypothyroidism can worsen (Qari, 2014). The information on major dietary changes by the patient should be accessed. Diet is a significant factor that influences the absorption of thyroid medications. </w:t>
      </w:r>
    </w:p>
    <w:p w:rsidR="00F72D30"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Management</w:t>
      </w:r>
    </w:p>
    <w:p w:rsidR="00805D03"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The management of the patient involves admission and close monitoring of the patient until he recovers. The patient needs to be continuously assessed for any complications or risks such as heart failure and kidney disease. Treatment of the patient should be enhanced through medications and dietary supply of iodine. The medications' side effects, such as </w:t>
      </w:r>
      <w:r w:rsidRPr="00BF4714">
        <w:rPr>
          <w:rFonts w:ascii="Times New Roman" w:hAnsi="Times New Roman" w:cs="Times New Roman"/>
          <w:color w:val="000000" w:themeColor="text1"/>
          <w:sz w:val="24"/>
          <w:szCs w:val="24"/>
        </w:rPr>
        <w:lastRenderedPageBreak/>
        <w:t>palpitations, insomnia, and increased appetite, should be well managed</w:t>
      </w:r>
      <w:r w:rsidR="00C84FB8" w:rsidRPr="00BF4714">
        <w:rPr>
          <w:rFonts w:ascii="Times New Roman" w:hAnsi="Times New Roman" w:cs="Times New Roman"/>
          <w:color w:val="000000" w:themeColor="text1"/>
          <w:sz w:val="24"/>
          <w:szCs w:val="24"/>
        </w:rPr>
        <w:t xml:space="preserve"> (Qari, 2014)</w:t>
      </w:r>
      <w:r w:rsidRPr="00BF4714">
        <w:rPr>
          <w:rFonts w:ascii="Times New Roman" w:hAnsi="Times New Roman" w:cs="Times New Roman"/>
          <w:color w:val="000000" w:themeColor="text1"/>
          <w:sz w:val="24"/>
          <w:szCs w:val="24"/>
        </w:rPr>
        <w:t>. The proper dosage of levothyroxine should be enhanced to ensure that the side effects are prevented. Proper absorption of levothyroxine should be enhanced through calcium supplements, aluminum hydroxide, and multivitamins.</w:t>
      </w:r>
    </w:p>
    <w:p w:rsidR="007B2FA9"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Prognosis</w:t>
      </w:r>
    </w:p>
    <w:p w:rsidR="007B2FA9"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The successful management and recovery of the patient are dependent on the early detection of the condition. Research provides that early detection and treatment of hypothyroidism prevents complications of the disease. However, in some cases, despite early diagnosis and initiation of treatment, complications occur. For older patients, the recommended treatment dose is lower, which affects the treatment process</w:t>
      </w:r>
      <w:r w:rsidR="00C84FB8" w:rsidRPr="00BF4714">
        <w:rPr>
          <w:rFonts w:ascii="Times New Roman" w:hAnsi="Times New Roman" w:cs="Times New Roman"/>
          <w:color w:val="000000" w:themeColor="text1"/>
          <w:sz w:val="24"/>
          <w:szCs w:val="24"/>
        </w:rPr>
        <w:t xml:space="preserve"> (</w:t>
      </w:r>
      <w:r w:rsidR="00C84FB8" w:rsidRPr="00BF4714">
        <w:rPr>
          <w:rFonts w:ascii="Times New Roman" w:hAnsi="Times New Roman" w:cs="Times New Roman"/>
          <w:color w:val="000000" w:themeColor="text1"/>
          <w:sz w:val="24"/>
          <w:szCs w:val="24"/>
          <w:shd w:val="clear" w:color="auto" w:fill="FFFFFF"/>
        </w:rPr>
        <w:t>Chiovato,Magri&amp;Carlé, 2019)</w:t>
      </w:r>
      <w:r w:rsidRPr="00BF4714">
        <w:rPr>
          <w:rFonts w:ascii="Times New Roman" w:hAnsi="Times New Roman" w:cs="Times New Roman"/>
          <w:color w:val="000000" w:themeColor="text1"/>
          <w:sz w:val="24"/>
          <w:szCs w:val="24"/>
        </w:rPr>
        <w:t>. Therefore, for the patient, the disease's prognosis might not be certain because of his age.</w:t>
      </w:r>
    </w:p>
    <w:p w:rsidR="00805D03"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Follow up care</w:t>
      </w:r>
    </w:p>
    <w:p w:rsidR="00805D03" w:rsidRPr="00BF4714" w:rsidRDefault="00646B49" w:rsidP="00BF4714">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 xml:space="preserve">The patient needs to be provided with a follow </w:t>
      </w:r>
      <w:r w:rsidR="00C274F2">
        <w:rPr>
          <w:rFonts w:ascii="Times New Roman" w:hAnsi="Times New Roman" w:cs="Times New Roman"/>
          <w:color w:val="000000" w:themeColor="text1"/>
          <w:sz w:val="24"/>
          <w:szCs w:val="24"/>
        </w:rPr>
        <w:t>u</w:t>
      </w:r>
      <w:r w:rsidRPr="00BF4714">
        <w:rPr>
          <w:rFonts w:ascii="Times New Roman" w:hAnsi="Times New Roman" w:cs="Times New Roman"/>
          <w:color w:val="000000" w:themeColor="text1"/>
          <w:sz w:val="24"/>
          <w:szCs w:val="24"/>
        </w:rPr>
        <w:t xml:space="preserve">p management after discharge. </w:t>
      </w:r>
      <w:r w:rsidR="007B2FA9" w:rsidRPr="00BF4714">
        <w:rPr>
          <w:rFonts w:ascii="Times New Roman" w:hAnsi="Times New Roman" w:cs="Times New Roman"/>
          <w:color w:val="000000" w:themeColor="text1"/>
          <w:sz w:val="24"/>
          <w:szCs w:val="24"/>
        </w:rPr>
        <w:t>When the patient is discharged, he should be informed about the clinics that he should attend and provided with the clinics' dates for further assessments. The patient should be linked to public health workers to ensure home care visits to ensure that he is recovering.</w:t>
      </w:r>
    </w:p>
    <w:p w:rsidR="007B2FA9" w:rsidRPr="00BF4714" w:rsidRDefault="00646B49" w:rsidP="00BF4714">
      <w:pPr>
        <w:spacing w:after="0" w:line="480" w:lineRule="auto"/>
        <w:ind w:firstLine="851"/>
        <w:jc w:val="center"/>
        <w:rPr>
          <w:rFonts w:ascii="Times New Roman" w:hAnsi="Times New Roman" w:cs="Times New Roman"/>
          <w:b/>
          <w:bCs/>
          <w:color w:val="000000" w:themeColor="text1"/>
          <w:sz w:val="24"/>
          <w:szCs w:val="24"/>
        </w:rPr>
      </w:pPr>
      <w:r w:rsidRPr="00BF4714">
        <w:rPr>
          <w:rFonts w:ascii="Times New Roman" w:hAnsi="Times New Roman" w:cs="Times New Roman"/>
          <w:b/>
          <w:bCs/>
          <w:color w:val="000000" w:themeColor="text1"/>
          <w:sz w:val="24"/>
          <w:szCs w:val="24"/>
        </w:rPr>
        <w:t>Education</w:t>
      </w:r>
    </w:p>
    <w:p w:rsidR="004B1693" w:rsidRDefault="00646B49" w:rsidP="004B1693">
      <w:pPr>
        <w:spacing w:after="0" w:line="480" w:lineRule="auto"/>
        <w:ind w:firstLine="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rPr>
        <w:t>The patient should be educated on the proper diet that will help his recovery. The patient should be encouraged to consume a balanced diet that is not high in sodium or fat. Also, a gluten-free diet is significant in the management of the patient. The patient should be advised to avoid soya as it prevents the absorption of thyroxine. Iron supplements should be encouraged to enhance thyroxine absorption (</w:t>
      </w:r>
      <w:r w:rsidRPr="00BF4714">
        <w:rPr>
          <w:rFonts w:ascii="Times New Roman" w:hAnsi="Times New Roman" w:cs="Times New Roman"/>
          <w:color w:val="000000" w:themeColor="text1"/>
          <w:sz w:val="24"/>
          <w:szCs w:val="24"/>
          <w:shd w:val="clear" w:color="auto" w:fill="FFFFFF"/>
        </w:rPr>
        <w:t>Chiovato,Magri&amp;Carlé, 2019)</w:t>
      </w:r>
      <w:r w:rsidRPr="00BF4714">
        <w:rPr>
          <w:rFonts w:ascii="Times New Roman" w:hAnsi="Times New Roman" w:cs="Times New Roman"/>
          <w:color w:val="000000" w:themeColor="text1"/>
          <w:sz w:val="24"/>
          <w:szCs w:val="24"/>
        </w:rPr>
        <w:t>. The patient should be educated on the significance of adherence to medications and follow up clinics to ensure his recovery.</w:t>
      </w:r>
    </w:p>
    <w:p w:rsidR="00C84FB8" w:rsidRPr="004B1693" w:rsidRDefault="00646B49" w:rsidP="00BF4714">
      <w:pPr>
        <w:spacing w:after="0" w:line="480" w:lineRule="auto"/>
        <w:ind w:firstLine="851"/>
        <w:jc w:val="center"/>
        <w:rPr>
          <w:rFonts w:ascii="Times New Roman" w:hAnsi="Times New Roman" w:cs="Times New Roman"/>
          <w:b/>
          <w:color w:val="000000" w:themeColor="text1"/>
          <w:sz w:val="24"/>
          <w:szCs w:val="24"/>
        </w:rPr>
      </w:pPr>
      <w:r w:rsidRPr="004B1693">
        <w:rPr>
          <w:rFonts w:ascii="Times New Roman" w:hAnsi="Times New Roman" w:cs="Times New Roman"/>
          <w:b/>
          <w:color w:val="000000" w:themeColor="text1"/>
          <w:sz w:val="24"/>
          <w:szCs w:val="24"/>
        </w:rPr>
        <w:lastRenderedPageBreak/>
        <w:t>References</w:t>
      </w:r>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shd w:val="clear" w:color="auto" w:fill="FFFFFF"/>
        </w:rPr>
      </w:pPr>
      <w:r w:rsidRPr="00BF4714">
        <w:rPr>
          <w:rFonts w:ascii="Times New Roman" w:hAnsi="Times New Roman" w:cs="Times New Roman"/>
          <w:color w:val="000000" w:themeColor="text1"/>
          <w:sz w:val="24"/>
          <w:szCs w:val="24"/>
          <w:shd w:val="clear" w:color="auto" w:fill="FFFFFF"/>
        </w:rPr>
        <w:t>Chiovato, L., Magri, F., &amp;Carlé, A. (2019). Hypothyroidism in Context: Where We've Been and Where We're Going. </w:t>
      </w:r>
      <w:r w:rsidRPr="00BF4714">
        <w:rPr>
          <w:rFonts w:ascii="Times New Roman" w:hAnsi="Times New Roman" w:cs="Times New Roman"/>
          <w:i/>
          <w:iCs/>
          <w:color w:val="000000" w:themeColor="text1"/>
          <w:sz w:val="24"/>
          <w:szCs w:val="24"/>
          <w:shd w:val="clear" w:color="auto" w:fill="FFFFFF"/>
        </w:rPr>
        <w:t>Advances in therapy</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36</w:t>
      </w:r>
      <w:r w:rsidRPr="00BF4714">
        <w:rPr>
          <w:rFonts w:ascii="Times New Roman" w:hAnsi="Times New Roman" w:cs="Times New Roman"/>
          <w:color w:val="000000" w:themeColor="text1"/>
          <w:sz w:val="24"/>
          <w:szCs w:val="24"/>
          <w:shd w:val="clear" w:color="auto" w:fill="FFFFFF"/>
        </w:rPr>
        <w:t xml:space="preserve">(Suppl 2), 47–58. </w:t>
      </w:r>
      <w:hyperlink r:id="rId7" w:history="1">
        <w:r w:rsidRPr="00BF4714">
          <w:rPr>
            <w:rStyle w:val="Hyperlink"/>
            <w:rFonts w:ascii="Times New Roman" w:hAnsi="Times New Roman" w:cs="Times New Roman"/>
            <w:color w:val="000000" w:themeColor="text1"/>
            <w:sz w:val="24"/>
            <w:szCs w:val="24"/>
            <w:u w:val="none"/>
            <w:shd w:val="clear" w:color="auto" w:fill="FFFFFF"/>
          </w:rPr>
          <w:t>https://doi.org/10.1007/s12325-019-01080-8</w:t>
        </w:r>
      </w:hyperlink>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shd w:val="clear" w:color="auto" w:fill="FFFFFF"/>
        </w:rPr>
      </w:pPr>
      <w:r w:rsidRPr="00BF4714">
        <w:rPr>
          <w:rFonts w:ascii="Times New Roman" w:hAnsi="Times New Roman" w:cs="Times New Roman"/>
          <w:color w:val="000000" w:themeColor="text1"/>
          <w:sz w:val="24"/>
          <w:szCs w:val="24"/>
          <w:shd w:val="clear" w:color="auto" w:fill="FFFFFF"/>
        </w:rPr>
        <w:t>Gani, L. U., &amp; How, C. H. (2015). PILL Series. Vitamin D deficiency. </w:t>
      </w:r>
      <w:r w:rsidRPr="00BF4714">
        <w:rPr>
          <w:rFonts w:ascii="Times New Roman" w:hAnsi="Times New Roman" w:cs="Times New Roman"/>
          <w:i/>
          <w:iCs/>
          <w:color w:val="000000" w:themeColor="text1"/>
          <w:sz w:val="24"/>
          <w:szCs w:val="24"/>
          <w:shd w:val="clear" w:color="auto" w:fill="FFFFFF"/>
        </w:rPr>
        <w:t>Singapore medical journal</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56</w:t>
      </w:r>
      <w:r w:rsidRPr="00BF4714">
        <w:rPr>
          <w:rFonts w:ascii="Times New Roman" w:hAnsi="Times New Roman" w:cs="Times New Roman"/>
          <w:color w:val="000000" w:themeColor="text1"/>
          <w:sz w:val="24"/>
          <w:szCs w:val="24"/>
          <w:shd w:val="clear" w:color="auto" w:fill="FFFFFF"/>
        </w:rPr>
        <w:t xml:space="preserve">(8), 433–437. </w:t>
      </w:r>
      <w:hyperlink r:id="rId8" w:history="1">
        <w:r w:rsidRPr="00BF4714">
          <w:rPr>
            <w:rStyle w:val="Hyperlink"/>
            <w:rFonts w:ascii="Times New Roman" w:hAnsi="Times New Roman" w:cs="Times New Roman"/>
            <w:color w:val="000000" w:themeColor="text1"/>
            <w:sz w:val="24"/>
            <w:szCs w:val="24"/>
            <w:u w:val="none"/>
            <w:shd w:val="clear" w:color="auto" w:fill="FFFFFF"/>
          </w:rPr>
          <w:t>https://doi.org/10.11622/smedj.2015119</w:t>
        </w:r>
      </w:hyperlink>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shd w:val="clear" w:color="auto" w:fill="FFFFFF"/>
        </w:rPr>
      </w:pPr>
      <w:r w:rsidRPr="00BF4714">
        <w:rPr>
          <w:rFonts w:ascii="Times New Roman" w:hAnsi="Times New Roman" w:cs="Times New Roman"/>
          <w:color w:val="000000" w:themeColor="text1"/>
          <w:sz w:val="24"/>
          <w:szCs w:val="24"/>
          <w:shd w:val="clear" w:color="auto" w:fill="FFFFFF"/>
        </w:rPr>
        <w:t>Kostoglou-Athanassiou, I., &amp;Ntalles, K. (2010). Hypothyroidism - new aspects of an old disease. </w:t>
      </w:r>
      <w:r w:rsidRPr="00BF4714">
        <w:rPr>
          <w:rFonts w:ascii="Times New Roman" w:hAnsi="Times New Roman" w:cs="Times New Roman"/>
          <w:i/>
          <w:iCs/>
          <w:color w:val="000000" w:themeColor="text1"/>
          <w:sz w:val="24"/>
          <w:szCs w:val="24"/>
          <w:shd w:val="clear" w:color="auto" w:fill="FFFFFF"/>
        </w:rPr>
        <w:t>Hippokratia</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14</w:t>
      </w:r>
      <w:r w:rsidRPr="00BF4714">
        <w:rPr>
          <w:rFonts w:ascii="Times New Roman" w:hAnsi="Times New Roman" w:cs="Times New Roman"/>
          <w:color w:val="000000" w:themeColor="text1"/>
          <w:sz w:val="24"/>
          <w:szCs w:val="24"/>
          <w:shd w:val="clear" w:color="auto" w:fill="FFFFFF"/>
        </w:rPr>
        <w:t>(2), 82–87.</w:t>
      </w:r>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rPr>
      </w:pPr>
      <w:r w:rsidRPr="00BF4714">
        <w:rPr>
          <w:rFonts w:ascii="Times New Roman" w:hAnsi="Times New Roman" w:cs="Times New Roman"/>
          <w:color w:val="000000" w:themeColor="text1"/>
          <w:sz w:val="24"/>
          <w:szCs w:val="24"/>
          <w:shd w:val="clear" w:color="auto" w:fill="FFFFFF"/>
        </w:rPr>
        <w:t>Pazderska, A., &amp; Pearce, S. H. (2017). Adrenal insufficiency - recognition and management. </w:t>
      </w:r>
      <w:r w:rsidRPr="00BF4714">
        <w:rPr>
          <w:rFonts w:ascii="Times New Roman" w:hAnsi="Times New Roman" w:cs="Times New Roman"/>
          <w:i/>
          <w:iCs/>
          <w:color w:val="000000" w:themeColor="text1"/>
          <w:sz w:val="24"/>
          <w:szCs w:val="24"/>
          <w:shd w:val="clear" w:color="auto" w:fill="FFFFFF"/>
        </w:rPr>
        <w:t>Clinical medicine (London, England)</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17</w:t>
      </w:r>
      <w:r w:rsidRPr="00BF4714">
        <w:rPr>
          <w:rFonts w:ascii="Times New Roman" w:hAnsi="Times New Roman" w:cs="Times New Roman"/>
          <w:color w:val="000000" w:themeColor="text1"/>
          <w:sz w:val="24"/>
          <w:szCs w:val="24"/>
          <w:shd w:val="clear" w:color="auto" w:fill="FFFFFF"/>
        </w:rPr>
        <w:t>(3), 258–262. https://doi.org/10.7861/clinmedicine.17-3-258</w:t>
      </w:r>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shd w:val="clear" w:color="auto" w:fill="FFFFFF"/>
        </w:rPr>
      </w:pPr>
      <w:r w:rsidRPr="00BF4714">
        <w:rPr>
          <w:rFonts w:ascii="Times New Roman" w:hAnsi="Times New Roman" w:cs="Times New Roman"/>
          <w:color w:val="000000" w:themeColor="text1"/>
          <w:sz w:val="24"/>
          <w:szCs w:val="24"/>
          <w:shd w:val="clear" w:color="auto" w:fill="FFFFFF"/>
        </w:rPr>
        <w:t xml:space="preserve">Qari, F. (2014). Hypothyroidism in clinical practice. </w:t>
      </w:r>
      <w:r w:rsidRPr="00BF4714">
        <w:rPr>
          <w:rFonts w:ascii="Times New Roman" w:hAnsi="Times New Roman" w:cs="Times New Roman"/>
          <w:i/>
          <w:iCs/>
          <w:color w:val="000000" w:themeColor="text1"/>
          <w:sz w:val="24"/>
          <w:szCs w:val="24"/>
          <w:shd w:val="clear" w:color="auto" w:fill="FFFFFF"/>
        </w:rPr>
        <w:t>Journal of family medicine and primary care</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3</w:t>
      </w:r>
      <w:r w:rsidRPr="00BF4714">
        <w:rPr>
          <w:rFonts w:ascii="Times New Roman" w:hAnsi="Times New Roman" w:cs="Times New Roman"/>
          <w:color w:val="000000" w:themeColor="text1"/>
          <w:sz w:val="24"/>
          <w:szCs w:val="24"/>
          <w:shd w:val="clear" w:color="auto" w:fill="FFFFFF"/>
        </w:rPr>
        <w:t xml:space="preserve">(2), 98–101. </w:t>
      </w:r>
      <w:hyperlink r:id="rId9" w:history="1">
        <w:r w:rsidRPr="00BF4714">
          <w:rPr>
            <w:rStyle w:val="Hyperlink"/>
            <w:rFonts w:ascii="Times New Roman" w:hAnsi="Times New Roman" w:cs="Times New Roman"/>
            <w:color w:val="000000" w:themeColor="text1"/>
            <w:sz w:val="24"/>
            <w:szCs w:val="24"/>
            <w:u w:val="none"/>
            <w:shd w:val="clear" w:color="auto" w:fill="FFFFFF"/>
          </w:rPr>
          <w:t>https://doi.org/10.4103/2249-4863.137609</w:t>
        </w:r>
      </w:hyperlink>
    </w:p>
    <w:p w:rsidR="00BF4714" w:rsidRPr="00BF4714" w:rsidRDefault="00646B49" w:rsidP="00BF4714">
      <w:pPr>
        <w:spacing w:after="0" w:line="480" w:lineRule="auto"/>
        <w:ind w:left="851" w:hanging="851"/>
        <w:rPr>
          <w:rFonts w:ascii="Times New Roman" w:hAnsi="Times New Roman" w:cs="Times New Roman"/>
          <w:color w:val="000000" w:themeColor="text1"/>
          <w:sz w:val="24"/>
          <w:szCs w:val="24"/>
          <w:shd w:val="clear" w:color="auto" w:fill="FFFFFF"/>
        </w:rPr>
      </w:pPr>
      <w:r w:rsidRPr="00BF4714">
        <w:rPr>
          <w:rFonts w:ascii="Times New Roman" w:hAnsi="Times New Roman" w:cs="Times New Roman"/>
          <w:color w:val="000000" w:themeColor="text1"/>
          <w:sz w:val="24"/>
          <w:szCs w:val="24"/>
          <w:shd w:val="clear" w:color="auto" w:fill="FFFFFF"/>
        </w:rPr>
        <w:t>Shaheen, N. A., Alqahtani, A. A., Assiri, H., Alkhodair, R., &amp; Hussein, M. A. (2018). Public knowledge of dehydration and fluid intake practices: variation by participants' characteristics. </w:t>
      </w:r>
      <w:r w:rsidRPr="00BF4714">
        <w:rPr>
          <w:rFonts w:ascii="Times New Roman" w:hAnsi="Times New Roman" w:cs="Times New Roman"/>
          <w:i/>
          <w:iCs/>
          <w:color w:val="000000" w:themeColor="text1"/>
          <w:sz w:val="24"/>
          <w:szCs w:val="24"/>
          <w:shd w:val="clear" w:color="auto" w:fill="FFFFFF"/>
        </w:rPr>
        <w:t>BMC public health</w:t>
      </w:r>
      <w:r w:rsidRPr="00BF4714">
        <w:rPr>
          <w:rFonts w:ascii="Times New Roman" w:hAnsi="Times New Roman" w:cs="Times New Roman"/>
          <w:color w:val="000000" w:themeColor="text1"/>
          <w:sz w:val="24"/>
          <w:szCs w:val="24"/>
          <w:shd w:val="clear" w:color="auto" w:fill="FFFFFF"/>
        </w:rPr>
        <w:t>, </w:t>
      </w:r>
      <w:r w:rsidRPr="00BF4714">
        <w:rPr>
          <w:rFonts w:ascii="Times New Roman" w:hAnsi="Times New Roman" w:cs="Times New Roman"/>
          <w:i/>
          <w:iCs/>
          <w:color w:val="000000" w:themeColor="text1"/>
          <w:sz w:val="24"/>
          <w:szCs w:val="24"/>
          <w:shd w:val="clear" w:color="auto" w:fill="FFFFFF"/>
        </w:rPr>
        <w:t>18</w:t>
      </w:r>
      <w:r w:rsidRPr="00BF4714">
        <w:rPr>
          <w:rFonts w:ascii="Times New Roman" w:hAnsi="Times New Roman" w:cs="Times New Roman"/>
          <w:color w:val="000000" w:themeColor="text1"/>
          <w:sz w:val="24"/>
          <w:szCs w:val="24"/>
          <w:shd w:val="clear" w:color="auto" w:fill="FFFFFF"/>
        </w:rPr>
        <w:t xml:space="preserve">(1), 1346. </w:t>
      </w:r>
      <w:hyperlink r:id="rId10" w:history="1">
        <w:r w:rsidRPr="00BF4714">
          <w:rPr>
            <w:rStyle w:val="Hyperlink"/>
            <w:rFonts w:ascii="Times New Roman" w:hAnsi="Times New Roman" w:cs="Times New Roman"/>
            <w:color w:val="000000" w:themeColor="text1"/>
            <w:sz w:val="24"/>
            <w:szCs w:val="24"/>
            <w:u w:val="none"/>
            <w:shd w:val="clear" w:color="auto" w:fill="FFFFFF"/>
          </w:rPr>
          <w:t>https://doi.org/10.1186/s12889-018-6252-5</w:t>
        </w:r>
      </w:hyperlink>
    </w:p>
    <w:sectPr w:rsidR="00BF4714" w:rsidRPr="00BF4714" w:rsidSect="0086746B">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E36" w:rsidRDefault="006F0E36" w:rsidP="0086746B">
      <w:pPr>
        <w:spacing w:after="0" w:line="240" w:lineRule="auto"/>
      </w:pPr>
      <w:r>
        <w:separator/>
      </w:r>
    </w:p>
  </w:endnote>
  <w:endnote w:type="continuationSeparator" w:id="1">
    <w:p w:rsidR="006F0E36" w:rsidRDefault="006F0E36" w:rsidP="008674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E36" w:rsidRDefault="006F0E36" w:rsidP="0086746B">
      <w:pPr>
        <w:spacing w:after="0" w:line="240" w:lineRule="auto"/>
      </w:pPr>
      <w:r>
        <w:separator/>
      </w:r>
    </w:p>
  </w:footnote>
  <w:footnote w:type="continuationSeparator" w:id="1">
    <w:p w:rsidR="006F0E36" w:rsidRDefault="006F0E36" w:rsidP="008674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775935"/>
      <w:docPartObj>
        <w:docPartGallery w:val="Page Numbers (Top of Page)"/>
        <w:docPartUnique/>
      </w:docPartObj>
    </w:sdtPr>
    <w:sdtEndPr>
      <w:rPr>
        <w:rFonts w:ascii="Times New Roman" w:hAnsi="Times New Roman" w:cs="Times New Roman"/>
        <w:noProof/>
        <w:sz w:val="24"/>
        <w:szCs w:val="24"/>
      </w:rPr>
    </w:sdtEndPr>
    <w:sdtContent>
      <w:p w:rsidR="00BF4714" w:rsidRPr="00BF4714" w:rsidRDefault="000A766E">
        <w:pPr>
          <w:pStyle w:val="Header"/>
          <w:jc w:val="right"/>
          <w:rPr>
            <w:rFonts w:ascii="Times New Roman" w:hAnsi="Times New Roman" w:cs="Times New Roman"/>
            <w:sz w:val="24"/>
            <w:szCs w:val="24"/>
          </w:rPr>
        </w:pPr>
        <w:r w:rsidRPr="00BF4714">
          <w:rPr>
            <w:rFonts w:ascii="Times New Roman" w:hAnsi="Times New Roman" w:cs="Times New Roman"/>
            <w:sz w:val="24"/>
            <w:szCs w:val="24"/>
          </w:rPr>
          <w:fldChar w:fldCharType="begin"/>
        </w:r>
        <w:r w:rsidR="00646B49" w:rsidRPr="00BF4714">
          <w:rPr>
            <w:rFonts w:ascii="Times New Roman" w:hAnsi="Times New Roman" w:cs="Times New Roman"/>
            <w:sz w:val="24"/>
            <w:szCs w:val="24"/>
          </w:rPr>
          <w:instrText xml:space="preserve"> PAGE   \* MERGEFORMAT </w:instrText>
        </w:r>
        <w:r w:rsidRPr="00BF4714">
          <w:rPr>
            <w:rFonts w:ascii="Times New Roman" w:hAnsi="Times New Roman" w:cs="Times New Roman"/>
            <w:sz w:val="24"/>
            <w:szCs w:val="24"/>
          </w:rPr>
          <w:fldChar w:fldCharType="separate"/>
        </w:r>
        <w:r w:rsidR="00263B99">
          <w:rPr>
            <w:rFonts w:ascii="Times New Roman" w:hAnsi="Times New Roman" w:cs="Times New Roman"/>
            <w:noProof/>
            <w:sz w:val="24"/>
            <w:szCs w:val="24"/>
          </w:rPr>
          <w:t>1</w:t>
        </w:r>
        <w:r w:rsidRPr="00BF4714">
          <w:rPr>
            <w:rFonts w:ascii="Times New Roman" w:hAnsi="Times New Roman" w:cs="Times New Roman"/>
            <w:noProof/>
            <w:sz w:val="24"/>
            <w:szCs w:val="24"/>
          </w:rPr>
          <w:fldChar w:fldCharType="end"/>
        </w:r>
      </w:p>
    </w:sdtContent>
  </w:sdt>
  <w:p w:rsidR="00BF4714" w:rsidRDefault="00BF47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56D97"/>
    <w:multiLevelType w:val="hybridMultilevel"/>
    <w:tmpl w:val="08D8AB42"/>
    <w:lvl w:ilvl="0" w:tplc="774878D6">
      <w:start w:val="1"/>
      <w:numFmt w:val="decimal"/>
      <w:lvlText w:val="%1."/>
      <w:lvlJc w:val="left"/>
      <w:pPr>
        <w:ind w:left="720" w:hanging="360"/>
      </w:pPr>
      <w:rPr>
        <w:rFonts w:ascii="Times New Roman" w:eastAsiaTheme="minorHAnsi" w:hAnsi="Times New Roman" w:cs="Times New Roman"/>
      </w:rPr>
    </w:lvl>
    <w:lvl w:ilvl="1" w:tplc="427629B6" w:tentative="1">
      <w:start w:val="1"/>
      <w:numFmt w:val="lowerLetter"/>
      <w:lvlText w:val="%2."/>
      <w:lvlJc w:val="left"/>
      <w:pPr>
        <w:ind w:left="1440" w:hanging="360"/>
      </w:pPr>
    </w:lvl>
    <w:lvl w:ilvl="2" w:tplc="965852F6" w:tentative="1">
      <w:start w:val="1"/>
      <w:numFmt w:val="lowerRoman"/>
      <w:lvlText w:val="%3."/>
      <w:lvlJc w:val="right"/>
      <w:pPr>
        <w:ind w:left="2160" w:hanging="180"/>
      </w:pPr>
    </w:lvl>
    <w:lvl w:ilvl="3" w:tplc="31DE5FAA" w:tentative="1">
      <w:start w:val="1"/>
      <w:numFmt w:val="decimal"/>
      <w:lvlText w:val="%4."/>
      <w:lvlJc w:val="left"/>
      <w:pPr>
        <w:ind w:left="2880" w:hanging="360"/>
      </w:pPr>
    </w:lvl>
    <w:lvl w:ilvl="4" w:tplc="64860644" w:tentative="1">
      <w:start w:val="1"/>
      <w:numFmt w:val="lowerLetter"/>
      <w:lvlText w:val="%5."/>
      <w:lvlJc w:val="left"/>
      <w:pPr>
        <w:ind w:left="3600" w:hanging="360"/>
      </w:pPr>
    </w:lvl>
    <w:lvl w:ilvl="5" w:tplc="B22841DE" w:tentative="1">
      <w:start w:val="1"/>
      <w:numFmt w:val="lowerRoman"/>
      <w:lvlText w:val="%6."/>
      <w:lvlJc w:val="right"/>
      <w:pPr>
        <w:ind w:left="4320" w:hanging="180"/>
      </w:pPr>
    </w:lvl>
    <w:lvl w:ilvl="6" w:tplc="565A5696" w:tentative="1">
      <w:start w:val="1"/>
      <w:numFmt w:val="decimal"/>
      <w:lvlText w:val="%7."/>
      <w:lvlJc w:val="left"/>
      <w:pPr>
        <w:ind w:left="5040" w:hanging="360"/>
      </w:pPr>
    </w:lvl>
    <w:lvl w:ilvl="7" w:tplc="52225C02" w:tentative="1">
      <w:start w:val="1"/>
      <w:numFmt w:val="lowerLetter"/>
      <w:lvlText w:val="%8."/>
      <w:lvlJc w:val="left"/>
      <w:pPr>
        <w:ind w:left="5760" w:hanging="360"/>
      </w:pPr>
    </w:lvl>
    <w:lvl w:ilvl="8" w:tplc="5376525C" w:tentative="1">
      <w:start w:val="1"/>
      <w:numFmt w:val="lowerRoman"/>
      <w:lvlText w:val="%9."/>
      <w:lvlJc w:val="right"/>
      <w:pPr>
        <w:ind w:left="6480" w:hanging="180"/>
      </w:pPr>
    </w:lvl>
  </w:abstractNum>
  <w:abstractNum w:abstractNumId="1">
    <w:nsid w:val="23A24272"/>
    <w:multiLevelType w:val="hybridMultilevel"/>
    <w:tmpl w:val="2DDE2B8A"/>
    <w:lvl w:ilvl="0" w:tplc="0928AB96">
      <w:start w:val="1"/>
      <w:numFmt w:val="decimal"/>
      <w:lvlText w:val="%1."/>
      <w:lvlJc w:val="left"/>
      <w:pPr>
        <w:ind w:left="720" w:hanging="360"/>
      </w:pPr>
      <w:rPr>
        <w:rFonts w:ascii="Times New Roman" w:eastAsiaTheme="minorHAnsi" w:hAnsi="Times New Roman" w:cs="Times New Roman"/>
      </w:rPr>
    </w:lvl>
    <w:lvl w:ilvl="1" w:tplc="330EE850" w:tentative="1">
      <w:start w:val="1"/>
      <w:numFmt w:val="lowerLetter"/>
      <w:lvlText w:val="%2."/>
      <w:lvlJc w:val="left"/>
      <w:pPr>
        <w:ind w:left="1440" w:hanging="360"/>
      </w:pPr>
    </w:lvl>
    <w:lvl w:ilvl="2" w:tplc="F2BCAB70" w:tentative="1">
      <w:start w:val="1"/>
      <w:numFmt w:val="lowerRoman"/>
      <w:lvlText w:val="%3."/>
      <w:lvlJc w:val="right"/>
      <w:pPr>
        <w:ind w:left="2160" w:hanging="180"/>
      </w:pPr>
    </w:lvl>
    <w:lvl w:ilvl="3" w:tplc="604A5DA2" w:tentative="1">
      <w:start w:val="1"/>
      <w:numFmt w:val="decimal"/>
      <w:lvlText w:val="%4."/>
      <w:lvlJc w:val="left"/>
      <w:pPr>
        <w:ind w:left="2880" w:hanging="360"/>
      </w:pPr>
    </w:lvl>
    <w:lvl w:ilvl="4" w:tplc="73B204C0" w:tentative="1">
      <w:start w:val="1"/>
      <w:numFmt w:val="lowerLetter"/>
      <w:lvlText w:val="%5."/>
      <w:lvlJc w:val="left"/>
      <w:pPr>
        <w:ind w:left="3600" w:hanging="360"/>
      </w:pPr>
    </w:lvl>
    <w:lvl w:ilvl="5" w:tplc="8BBC3B16" w:tentative="1">
      <w:start w:val="1"/>
      <w:numFmt w:val="lowerRoman"/>
      <w:lvlText w:val="%6."/>
      <w:lvlJc w:val="right"/>
      <w:pPr>
        <w:ind w:left="4320" w:hanging="180"/>
      </w:pPr>
    </w:lvl>
    <w:lvl w:ilvl="6" w:tplc="2C02BE34" w:tentative="1">
      <w:start w:val="1"/>
      <w:numFmt w:val="decimal"/>
      <w:lvlText w:val="%7."/>
      <w:lvlJc w:val="left"/>
      <w:pPr>
        <w:ind w:left="5040" w:hanging="360"/>
      </w:pPr>
    </w:lvl>
    <w:lvl w:ilvl="7" w:tplc="59F47988" w:tentative="1">
      <w:start w:val="1"/>
      <w:numFmt w:val="lowerLetter"/>
      <w:lvlText w:val="%8."/>
      <w:lvlJc w:val="left"/>
      <w:pPr>
        <w:ind w:left="5760" w:hanging="360"/>
      </w:pPr>
    </w:lvl>
    <w:lvl w:ilvl="8" w:tplc="B57288A6" w:tentative="1">
      <w:start w:val="1"/>
      <w:numFmt w:val="lowerRoman"/>
      <w:lvlText w:val="%9."/>
      <w:lvlJc w:val="right"/>
      <w:pPr>
        <w:ind w:left="6480" w:hanging="180"/>
      </w:pPr>
    </w:lvl>
  </w:abstractNum>
  <w:abstractNum w:abstractNumId="2">
    <w:nsid w:val="53B06141"/>
    <w:multiLevelType w:val="hybridMultilevel"/>
    <w:tmpl w:val="97481562"/>
    <w:lvl w:ilvl="0" w:tplc="691CB8C0">
      <w:start w:val="1"/>
      <w:numFmt w:val="decimal"/>
      <w:lvlText w:val="%1."/>
      <w:lvlJc w:val="left"/>
      <w:pPr>
        <w:ind w:left="720" w:hanging="360"/>
      </w:pPr>
      <w:rPr>
        <w:rFonts w:ascii="Times New Roman" w:eastAsiaTheme="minorHAnsi" w:hAnsi="Times New Roman" w:cs="Times New Roman"/>
      </w:rPr>
    </w:lvl>
    <w:lvl w:ilvl="1" w:tplc="46B02016" w:tentative="1">
      <w:start w:val="1"/>
      <w:numFmt w:val="lowerLetter"/>
      <w:lvlText w:val="%2."/>
      <w:lvlJc w:val="left"/>
      <w:pPr>
        <w:ind w:left="1440" w:hanging="360"/>
      </w:pPr>
    </w:lvl>
    <w:lvl w:ilvl="2" w:tplc="57EC94C4" w:tentative="1">
      <w:start w:val="1"/>
      <w:numFmt w:val="lowerRoman"/>
      <w:lvlText w:val="%3."/>
      <w:lvlJc w:val="right"/>
      <w:pPr>
        <w:ind w:left="2160" w:hanging="180"/>
      </w:pPr>
    </w:lvl>
    <w:lvl w:ilvl="3" w:tplc="ACB4DF56" w:tentative="1">
      <w:start w:val="1"/>
      <w:numFmt w:val="decimal"/>
      <w:lvlText w:val="%4."/>
      <w:lvlJc w:val="left"/>
      <w:pPr>
        <w:ind w:left="2880" w:hanging="360"/>
      </w:pPr>
    </w:lvl>
    <w:lvl w:ilvl="4" w:tplc="6E8C6500" w:tentative="1">
      <w:start w:val="1"/>
      <w:numFmt w:val="lowerLetter"/>
      <w:lvlText w:val="%5."/>
      <w:lvlJc w:val="left"/>
      <w:pPr>
        <w:ind w:left="3600" w:hanging="360"/>
      </w:pPr>
    </w:lvl>
    <w:lvl w:ilvl="5" w:tplc="1A76968A" w:tentative="1">
      <w:start w:val="1"/>
      <w:numFmt w:val="lowerRoman"/>
      <w:lvlText w:val="%6."/>
      <w:lvlJc w:val="right"/>
      <w:pPr>
        <w:ind w:left="4320" w:hanging="180"/>
      </w:pPr>
    </w:lvl>
    <w:lvl w:ilvl="6" w:tplc="9160AFB8" w:tentative="1">
      <w:start w:val="1"/>
      <w:numFmt w:val="decimal"/>
      <w:lvlText w:val="%7."/>
      <w:lvlJc w:val="left"/>
      <w:pPr>
        <w:ind w:left="5040" w:hanging="360"/>
      </w:pPr>
    </w:lvl>
    <w:lvl w:ilvl="7" w:tplc="CB6EF7F2" w:tentative="1">
      <w:start w:val="1"/>
      <w:numFmt w:val="lowerLetter"/>
      <w:lvlText w:val="%8."/>
      <w:lvlJc w:val="left"/>
      <w:pPr>
        <w:ind w:left="5760" w:hanging="360"/>
      </w:pPr>
    </w:lvl>
    <w:lvl w:ilvl="8" w:tplc="94F0360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7020"/>
    <w:rsid w:val="00053D3A"/>
    <w:rsid w:val="000622CB"/>
    <w:rsid w:val="000A766E"/>
    <w:rsid w:val="000E0D5B"/>
    <w:rsid w:val="00107020"/>
    <w:rsid w:val="00124337"/>
    <w:rsid w:val="00146C84"/>
    <w:rsid w:val="00153270"/>
    <w:rsid w:val="0016040E"/>
    <w:rsid w:val="00263B99"/>
    <w:rsid w:val="003113AC"/>
    <w:rsid w:val="004B1693"/>
    <w:rsid w:val="00605E0C"/>
    <w:rsid w:val="00646B49"/>
    <w:rsid w:val="006F0E36"/>
    <w:rsid w:val="00701D0F"/>
    <w:rsid w:val="007B2FA9"/>
    <w:rsid w:val="00805D03"/>
    <w:rsid w:val="0086746B"/>
    <w:rsid w:val="00995A6E"/>
    <w:rsid w:val="009E4AF6"/>
    <w:rsid w:val="00B927FD"/>
    <w:rsid w:val="00BF4714"/>
    <w:rsid w:val="00C06C7B"/>
    <w:rsid w:val="00C16F23"/>
    <w:rsid w:val="00C274F2"/>
    <w:rsid w:val="00C84FB8"/>
    <w:rsid w:val="00F708B2"/>
    <w:rsid w:val="00F72D30"/>
    <w:rsid w:val="00F95ABA"/>
    <w:rsid w:val="00FB57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4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8B2"/>
    <w:pPr>
      <w:ind w:left="720"/>
      <w:contextualSpacing/>
    </w:pPr>
  </w:style>
  <w:style w:type="character" w:styleId="Hyperlink">
    <w:name w:val="Hyperlink"/>
    <w:basedOn w:val="DefaultParagraphFont"/>
    <w:uiPriority w:val="99"/>
    <w:unhideWhenUsed/>
    <w:rsid w:val="00C84FB8"/>
    <w:rPr>
      <w:color w:val="0563C1" w:themeColor="hyperlink"/>
      <w:u w:val="single"/>
    </w:rPr>
  </w:style>
  <w:style w:type="character" w:customStyle="1" w:styleId="UnresolvedMention">
    <w:name w:val="Unresolved Mention"/>
    <w:basedOn w:val="DefaultParagraphFont"/>
    <w:uiPriority w:val="99"/>
    <w:semiHidden/>
    <w:unhideWhenUsed/>
    <w:rsid w:val="00C84FB8"/>
    <w:rPr>
      <w:color w:val="605E5C"/>
      <w:shd w:val="clear" w:color="auto" w:fill="E1DFDD"/>
    </w:rPr>
  </w:style>
  <w:style w:type="paragraph" w:styleId="Header">
    <w:name w:val="header"/>
    <w:basedOn w:val="Normal"/>
    <w:link w:val="HeaderChar"/>
    <w:uiPriority w:val="99"/>
    <w:unhideWhenUsed/>
    <w:rsid w:val="00BF4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14"/>
  </w:style>
  <w:style w:type="paragraph" w:styleId="Footer">
    <w:name w:val="footer"/>
    <w:basedOn w:val="Normal"/>
    <w:link w:val="FooterChar"/>
    <w:uiPriority w:val="99"/>
    <w:unhideWhenUsed/>
    <w:rsid w:val="00BF47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622/smedj.201511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07/s12325-019-0108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86/s12889-018-6252-5" TargetMode="External"/><Relationship Id="rId4" Type="http://schemas.openxmlformats.org/officeDocument/2006/relationships/webSettings" Target="webSettings.xml"/><Relationship Id="rId9" Type="http://schemas.openxmlformats.org/officeDocument/2006/relationships/hyperlink" Target="https://doi.org/10.4103/2249-4863.1376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2020-09-28T12:52:00Z</dcterms:created>
  <dcterms:modified xsi:type="dcterms:W3CDTF">2020-09-28T12:52:00Z</dcterms:modified>
</cp:coreProperties>
</file>