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AE247A2" w14:textId="77777777" w:rsidR="00A57D8E" w:rsidRDefault="003005EB">
      <w:pPr>
        <w:jc w:val="center"/>
        <w:rPr>
          <w:rFonts w:ascii="Times New Roman" w:eastAsia="Times New Roman" w:hAnsi="Times New Roman" w:cs="Times New Roman"/>
          <w:b/>
          <w:sz w:val="24"/>
          <w:u w:val="single"/>
        </w:rPr>
      </w:pPr>
      <w:r>
        <w:rPr>
          <w:rFonts w:ascii="Times New Roman" w:eastAsia="Times New Roman" w:hAnsi="Times New Roman" w:cs="Times New Roman"/>
          <w:b/>
          <w:sz w:val="24"/>
          <w:u w:val="single"/>
        </w:rPr>
        <w:t>Abstract</w:t>
      </w:r>
    </w:p>
    <w:p w14:paraId="15E2ED58" w14:textId="77777777" w:rsidR="00A57D8E" w:rsidRDefault="003005EB">
      <w:pPr>
        <w:spacing w:after="0" w:line="480" w:lineRule="auto"/>
        <w:ind w:firstLine="720"/>
        <w:rPr>
          <w:rFonts w:ascii="Times New Roman" w:eastAsia="Times New Roman" w:hAnsi="Times New Roman" w:cs="Times New Roman"/>
          <w:sz w:val="24"/>
        </w:rPr>
      </w:pPr>
      <w:r>
        <w:rPr>
          <w:rFonts w:ascii="Times New Roman" w:eastAsia="Times New Roman" w:hAnsi="Times New Roman" w:cs="Times New Roman"/>
          <w:sz w:val="24"/>
        </w:rPr>
        <w:t>This paper will highlight findings and recommendations of the improvements for selected regions and countries of their development plan that are intertwined with the ‘Sustainable Development Goals’ (SDG) of affordable and clean energy. Within this task, a total of 15 countries within 5 regions will be characterized by the support of the ‘IF’ program and additional supporting references as this study progress. In addition, the objective of this study, is to identify, review, and acknowledge energy policies and goals with creditable research and model findings. Which will be used to incorporate the community</w:t>
      </w:r>
      <w:r>
        <w:rPr>
          <w:rFonts w:ascii="Calibri" w:eastAsia="Calibri" w:hAnsi="Calibri" w:cs="Calibri"/>
        </w:rPr>
        <w:t xml:space="preserve"> </w:t>
      </w:r>
      <w:r>
        <w:rPr>
          <w:rFonts w:ascii="Times New Roman" w:eastAsia="Times New Roman" w:hAnsi="Times New Roman" w:cs="Times New Roman"/>
          <w:sz w:val="24"/>
        </w:rPr>
        <w:t xml:space="preserve">Integrated Assessment Models (IAMs) responses of time slicing levels “that represents operations of storage and intermittent renewable in the electricity systems” [ 1]. Furthermore, one river basin had to be identified within each region to include population, economy, biome and ecoregions, land-use, hydrology, and Biodiversity. </w:t>
      </w:r>
    </w:p>
    <w:p w14:paraId="3DB7F421" w14:textId="77777777" w:rsidR="00A57D8E" w:rsidRDefault="003005EB">
      <w:pPr>
        <w:jc w:val="center"/>
        <w:rPr>
          <w:rFonts w:ascii="Times New Roman" w:eastAsia="Times New Roman" w:hAnsi="Times New Roman" w:cs="Times New Roman"/>
          <w:b/>
          <w:sz w:val="24"/>
          <w:u w:val="single"/>
        </w:rPr>
      </w:pPr>
      <w:r>
        <w:rPr>
          <w:rFonts w:ascii="Times New Roman" w:eastAsia="Times New Roman" w:hAnsi="Times New Roman" w:cs="Times New Roman"/>
          <w:b/>
          <w:sz w:val="24"/>
          <w:u w:val="single"/>
        </w:rPr>
        <w:t>Introduction</w:t>
      </w:r>
    </w:p>
    <w:p w14:paraId="551D6171" w14:textId="10FC6759" w:rsidR="00A57D8E" w:rsidRDefault="003005EB">
      <w:pPr>
        <w:spacing w:after="0" w:line="480" w:lineRule="auto"/>
        <w:ind w:firstLine="720"/>
        <w:rPr>
          <w:rFonts w:ascii="Times New Roman" w:eastAsia="Times New Roman" w:hAnsi="Times New Roman" w:cs="Times New Roman"/>
          <w:sz w:val="24"/>
        </w:rPr>
      </w:pPr>
      <w:r>
        <w:rPr>
          <w:rFonts w:ascii="Times New Roman" w:eastAsia="Times New Roman" w:hAnsi="Times New Roman" w:cs="Times New Roman"/>
          <w:sz w:val="24"/>
        </w:rPr>
        <w:t xml:space="preserve">Five regions have been selected in this study, which are North America, Latin American, Sub-Saharan Africa, South Asia, and Europe. Furthermore, three countries within these five regions has to be categorized to specify the criticism and limitations of the lacked electricity systems considered within the geographical dispersion of wind, solar resources, and system balancing with high penetrations of renewables. The countries selected are undergoing rehabilitation and modernization of solar and wind potential to reduce hydropower dominance. In support, Identifying the express details of ‘Tipping Point’ methodology, which is to induct the installations of </w:t>
      </w:r>
      <w:r>
        <w:rPr>
          <w:rFonts w:ascii="Times New Roman" w:eastAsia="Times New Roman" w:hAnsi="Times New Roman" w:cs="Times New Roman"/>
          <w:sz w:val="24"/>
          <w:shd w:val="clear" w:color="auto" w:fill="00FFFF"/>
        </w:rPr>
        <w:t>solar power from traditional power utilization</w:t>
      </w:r>
      <w:r>
        <w:rPr>
          <w:rFonts w:ascii="Times New Roman" w:eastAsia="Times New Roman" w:hAnsi="Times New Roman" w:cs="Times New Roman"/>
          <w:sz w:val="24"/>
        </w:rPr>
        <w:t xml:space="preserve">. This allows the energy industries to dissect the methods of energy exchanges and demands throughout the dynamics of decarbonization, digitization, and decentralization. As the study continues, there will be hopes of enough information collected to provide recommendations that can be contributed to improve </w:t>
      </w:r>
      <w:r>
        <w:rPr>
          <w:rFonts w:ascii="Times New Roman" w:eastAsia="Times New Roman" w:hAnsi="Times New Roman" w:cs="Times New Roman"/>
          <w:sz w:val="24"/>
        </w:rPr>
        <w:lastRenderedPageBreak/>
        <w:t xml:space="preserve">any Integrated Assessment Models (IAMs) projections to enhance the outcome of current and future projects, within the selected regions. </w:t>
      </w:r>
    </w:p>
    <w:p w14:paraId="63300284" w14:textId="77777777" w:rsidR="00A57D8E" w:rsidRDefault="003005EB">
      <w:pPr>
        <w:spacing w:after="0" w:line="480" w:lineRule="auto"/>
        <w:ind w:firstLine="720"/>
        <w:rPr>
          <w:rFonts w:ascii="Times New Roman" w:eastAsia="Times New Roman" w:hAnsi="Times New Roman" w:cs="Times New Roman"/>
          <w:sz w:val="24"/>
        </w:rPr>
      </w:pPr>
      <w:r>
        <w:rPr>
          <w:rFonts w:ascii="Times New Roman" w:eastAsia="Times New Roman" w:hAnsi="Times New Roman" w:cs="Times New Roman"/>
          <w:sz w:val="24"/>
        </w:rPr>
        <w:t xml:space="preserve">Decarbonization is a power sector in means to reduce carbon intensity, the purpose of this method to find </w:t>
      </w:r>
      <w:proofErr w:type="spellStart"/>
      <w:r>
        <w:rPr>
          <w:rFonts w:ascii="Times New Roman" w:eastAsia="Times New Roman" w:hAnsi="Times New Roman" w:cs="Times New Roman"/>
          <w:sz w:val="24"/>
        </w:rPr>
        <w:t>appoaches</w:t>
      </w:r>
      <w:proofErr w:type="spellEnd"/>
      <w:r>
        <w:rPr>
          <w:rFonts w:ascii="Times New Roman" w:eastAsia="Times New Roman" w:hAnsi="Times New Roman" w:cs="Times New Roman"/>
          <w:sz w:val="24"/>
        </w:rPr>
        <w:t xml:space="preserve"> to reduce the emissions of electricity generated per unit in the equation of kilowatt-hour is a grams of carbon </w:t>
      </w:r>
      <w:proofErr w:type="spellStart"/>
      <w:r>
        <w:rPr>
          <w:rFonts w:ascii="Times New Roman" w:eastAsia="Times New Roman" w:hAnsi="Times New Roman" w:cs="Times New Roman"/>
          <w:sz w:val="24"/>
        </w:rPr>
        <w:t>dixoide</w:t>
      </w:r>
      <w:proofErr w:type="spellEnd"/>
      <w:r>
        <w:rPr>
          <w:rFonts w:ascii="Times New Roman" w:eastAsia="Times New Roman" w:hAnsi="Times New Roman" w:cs="Times New Roman"/>
          <w:sz w:val="24"/>
        </w:rPr>
        <w:t xml:space="preserve"> </w:t>
      </w:r>
    </w:p>
    <w:p w14:paraId="43DD7352" w14:textId="77777777" w:rsidR="00A57D8E" w:rsidRDefault="003005EB">
      <w:pPr>
        <w:spacing w:after="0" w:line="480" w:lineRule="auto"/>
        <w:ind w:firstLine="720"/>
        <w:rPr>
          <w:rFonts w:ascii="Times New Roman" w:eastAsia="Times New Roman" w:hAnsi="Times New Roman" w:cs="Times New Roman"/>
          <w:sz w:val="24"/>
        </w:rPr>
      </w:pPr>
      <w:r>
        <w:rPr>
          <w:rFonts w:ascii="Times New Roman" w:eastAsia="Times New Roman" w:hAnsi="Times New Roman" w:cs="Times New Roman"/>
          <w:sz w:val="24"/>
        </w:rPr>
        <w:t>Kilowatt- A unit of electric power that measures to a 1000 watts a</w:t>
      </w:r>
    </w:p>
    <w:p w14:paraId="219DE3D0" w14:textId="485632E9" w:rsidR="00A57D8E" w:rsidRDefault="003005EB">
      <w:pPr>
        <w:spacing w:after="0" w:line="480" w:lineRule="auto"/>
        <w:ind w:firstLine="720"/>
        <w:rPr>
          <w:rFonts w:ascii="Times New Roman" w:eastAsia="Times New Roman" w:hAnsi="Times New Roman" w:cs="Times New Roman"/>
          <w:sz w:val="24"/>
        </w:rPr>
      </w:pPr>
      <w:r>
        <w:rPr>
          <w:rFonts w:ascii="Times New Roman" w:eastAsia="Times New Roman" w:hAnsi="Times New Roman" w:cs="Times New Roman"/>
          <w:sz w:val="24"/>
        </w:rPr>
        <w:t>Kilowatt- hour is a composite unit of energy equal to 1 Kilowatt of power sustained for one hour.</w:t>
      </w:r>
    </w:p>
    <w:p w14:paraId="41395FEE" w14:textId="77777777" w:rsidR="00A57D8E" w:rsidRDefault="003005EB">
      <w:pPr>
        <w:spacing w:after="0" w:line="480" w:lineRule="auto"/>
        <w:ind w:firstLine="720"/>
        <w:rPr>
          <w:rFonts w:ascii="Times New Roman" w:eastAsia="Times New Roman" w:hAnsi="Times New Roman" w:cs="Times New Roman"/>
          <w:sz w:val="24"/>
        </w:rPr>
      </w:pPr>
      <w:r>
        <w:rPr>
          <w:rFonts w:ascii="Times New Roman" w:eastAsia="Times New Roman" w:hAnsi="Times New Roman" w:cs="Times New Roman"/>
          <w:sz w:val="24"/>
        </w:rPr>
        <w:t xml:space="preserve">Digitization- </w:t>
      </w:r>
    </w:p>
    <w:p w14:paraId="5121FE3C" w14:textId="77777777" w:rsidR="00A57D8E" w:rsidRDefault="003005EB">
      <w:pPr>
        <w:spacing w:after="0" w:line="480" w:lineRule="auto"/>
        <w:ind w:firstLine="720"/>
        <w:rPr>
          <w:rFonts w:ascii="Times New Roman" w:eastAsia="Times New Roman" w:hAnsi="Times New Roman" w:cs="Times New Roman"/>
          <w:sz w:val="24"/>
        </w:rPr>
      </w:pPr>
      <w:proofErr w:type="spellStart"/>
      <w:r>
        <w:rPr>
          <w:rFonts w:ascii="Times New Roman" w:eastAsia="Times New Roman" w:hAnsi="Times New Roman" w:cs="Times New Roman"/>
          <w:sz w:val="24"/>
        </w:rPr>
        <w:t>Dencentralization</w:t>
      </w:r>
      <w:proofErr w:type="spellEnd"/>
    </w:p>
    <w:p w14:paraId="2023164C" w14:textId="77777777" w:rsidR="00A57D8E" w:rsidRDefault="003005EB">
      <w:pPr>
        <w:spacing w:after="0" w:line="480" w:lineRule="auto"/>
        <w:ind w:firstLine="720"/>
        <w:rPr>
          <w:rFonts w:ascii="Times New Roman" w:eastAsia="Times New Roman" w:hAnsi="Times New Roman" w:cs="Times New Roman"/>
          <w:sz w:val="24"/>
        </w:rPr>
      </w:pPr>
      <w:r>
        <w:rPr>
          <w:rFonts w:ascii="Times New Roman" w:eastAsia="Times New Roman" w:hAnsi="Times New Roman" w:cs="Times New Roman"/>
          <w:sz w:val="24"/>
        </w:rPr>
        <w:t xml:space="preserve">Current and future projects of IAMs that are </w:t>
      </w:r>
      <w:proofErr w:type="spellStart"/>
      <w:r>
        <w:rPr>
          <w:rFonts w:ascii="Times New Roman" w:eastAsia="Times New Roman" w:hAnsi="Times New Roman" w:cs="Times New Roman"/>
          <w:sz w:val="24"/>
        </w:rPr>
        <w:t>sorrounded</w:t>
      </w:r>
      <w:proofErr w:type="spellEnd"/>
      <w:r>
        <w:rPr>
          <w:rFonts w:ascii="Times New Roman" w:eastAsia="Times New Roman" w:hAnsi="Times New Roman" w:cs="Times New Roman"/>
          <w:sz w:val="24"/>
        </w:rPr>
        <w:t xml:space="preserve"> by river basins of hydropower </w:t>
      </w:r>
      <w:proofErr w:type="spellStart"/>
      <w:r>
        <w:rPr>
          <w:rFonts w:ascii="Times New Roman" w:eastAsia="Times New Roman" w:hAnsi="Times New Roman" w:cs="Times New Roman"/>
          <w:sz w:val="24"/>
        </w:rPr>
        <w:t>accessablities</w:t>
      </w:r>
      <w:proofErr w:type="spellEnd"/>
      <w:r>
        <w:rPr>
          <w:rFonts w:ascii="Times New Roman" w:eastAsia="Times New Roman" w:hAnsi="Times New Roman" w:cs="Times New Roman"/>
          <w:sz w:val="24"/>
        </w:rPr>
        <w:t xml:space="preserve">   </w:t>
      </w:r>
    </w:p>
    <w:p w14:paraId="7D1B148F" w14:textId="77777777" w:rsidR="00A57D8E" w:rsidRDefault="00A57D8E">
      <w:pPr>
        <w:spacing w:after="0" w:line="480" w:lineRule="auto"/>
        <w:ind w:firstLine="720"/>
        <w:rPr>
          <w:rFonts w:ascii="Times New Roman" w:eastAsia="Times New Roman" w:hAnsi="Times New Roman" w:cs="Times New Roman"/>
          <w:sz w:val="24"/>
        </w:rPr>
      </w:pPr>
    </w:p>
    <w:p w14:paraId="12F09F93" w14:textId="77777777" w:rsidR="00A57D8E" w:rsidRDefault="003005EB">
      <w:pPr>
        <w:jc w:val="center"/>
        <w:rPr>
          <w:rFonts w:ascii="Times New Roman" w:eastAsia="Times New Roman" w:hAnsi="Times New Roman" w:cs="Times New Roman"/>
          <w:b/>
          <w:sz w:val="24"/>
          <w:u w:val="single"/>
        </w:rPr>
      </w:pPr>
      <w:r>
        <w:rPr>
          <w:rFonts w:ascii="Times New Roman" w:eastAsia="Times New Roman" w:hAnsi="Times New Roman" w:cs="Times New Roman"/>
          <w:b/>
          <w:sz w:val="24"/>
          <w:u w:val="single"/>
        </w:rPr>
        <w:t xml:space="preserve">Recent Studies </w:t>
      </w:r>
    </w:p>
    <w:p w14:paraId="342673FD" w14:textId="77777777" w:rsidR="00A57D8E" w:rsidRDefault="003005EB">
      <w:pPr>
        <w:spacing w:after="0" w:line="480" w:lineRule="auto"/>
        <w:rPr>
          <w:rFonts w:ascii="Times New Roman" w:eastAsia="Times New Roman" w:hAnsi="Times New Roman" w:cs="Times New Roman"/>
          <w:sz w:val="24"/>
        </w:rPr>
      </w:pPr>
      <w:r>
        <w:rPr>
          <w:rFonts w:ascii="Times New Roman" w:eastAsia="Times New Roman" w:hAnsi="Times New Roman" w:cs="Times New Roman"/>
          <w:sz w:val="24"/>
        </w:rPr>
        <w:tab/>
        <w:t>There are a massive range of studies on how each region is approaching their migration plan of reorganizing electrical system equipment throughout their countries. As government powers, policies, usage regulations, population, funding source, renew resource understanding and availability, field portion of energy distributions, homesteads, and automatic meter readings change outs. Yes, the list can go on, but these are the factors that has to be considered. As energy industries launches networks to promote clean energy, many development activities have to be a coordinated to present smart grids and on a global scale of energy renewal.</w:t>
      </w:r>
      <w:r>
        <w:rPr>
          <w:rFonts w:ascii="Calibri" w:eastAsia="Calibri" w:hAnsi="Calibri" w:cs="Calibri"/>
        </w:rPr>
        <w:t xml:space="preserve"> </w:t>
      </w:r>
      <w:r>
        <w:rPr>
          <w:rFonts w:ascii="Times New Roman" w:eastAsia="Times New Roman" w:hAnsi="Times New Roman" w:cs="Times New Roman"/>
          <w:sz w:val="24"/>
        </w:rPr>
        <w:t xml:space="preserve">Published by the International Energy Agency (IEA) 1, a smart grid is “an electricity network that uses digital and other advanced technologies to monitor and manage the transport of electricity from all generation sources to meet the varying electricity demands of end-users. Smart grids co-ordinate </w:t>
      </w:r>
      <w:r>
        <w:rPr>
          <w:rFonts w:ascii="Times New Roman" w:eastAsia="Times New Roman" w:hAnsi="Times New Roman" w:cs="Times New Roman"/>
          <w:sz w:val="24"/>
        </w:rPr>
        <w:lastRenderedPageBreak/>
        <w:t>the needs and capabilities of all generators, grid operators, end-users and electricity market stakeholders to operate all parts of the system as efficiently as possible, minimizing costs and environmental impacts while maximizing system reliability, resilience and stability”. “In order to enable the evolution of the electricity system of a country or region towards smart grids, several conditions must be met involving the structure of the system, the local legislation, regulation, market organization, technological advancement, customer involvement, technical skills etc.” (</w:t>
      </w:r>
      <w:proofErr w:type="spellStart"/>
      <w:r>
        <w:rPr>
          <w:rFonts w:ascii="Times New Roman" w:eastAsia="Times New Roman" w:hAnsi="Times New Roman" w:cs="Times New Roman"/>
          <w:sz w:val="24"/>
        </w:rPr>
        <w:t>Coviello</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Nigris</w:t>
      </w:r>
      <w:proofErr w:type="spellEnd"/>
      <w:r>
        <w:rPr>
          <w:rFonts w:ascii="Times New Roman" w:eastAsia="Times New Roman" w:hAnsi="Times New Roman" w:cs="Times New Roman"/>
          <w:sz w:val="24"/>
        </w:rPr>
        <w:t xml:space="preserve">, 9) </w:t>
      </w:r>
    </w:p>
    <w:p w14:paraId="423C837B" w14:textId="77777777" w:rsidR="00A57D8E" w:rsidRDefault="003005EB">
      <w:pPr>
        <w:spacing w:after="0" w:line="480" w:lineRule="auto"/>
        <w:ind w:firstLine="720"/>
        <w:rPr>
          <w:rFonts w:ascii="Times New Roman" w:eastAsia="Times New Roman" w:hAnsi="Times New Roman" w:cs="Times New Roman"/>
          <w:sz w:val="24"/>
        </w:rPr>
      </w:pPr>
      <w:r>
        <w:rPr>
          <w:rFonts w:ascii="Times New Roman" w:eastAsia="Times New Roman" w:hAnsi="Times New Roman" w:cs="Times New Roman"/>
          <w:sz w:val="24"/>
        </w:rPr>
        <w:t xml:space="preserve">In Latin America and the Caribbean region ‘International Smart Grid Action Network’(ISGAN), is an initiative that voluntary conducts framework and joint action plans with partnered countries to recognize and consider the growth of renewable energy. The main objectives consist of presenting renewable energy benefits, educating user involvement in improving energy efficiency, and consistent promotions of electric vehicles to reduce CO2 emissions for future solar power efficiency. Since 2011, many countries have enrolled and participated in the widespread adoption in creating adaptable smart grid with includes the direct efforts of policies, research, development and demonstration of technologies, training and qualification of labor force, and user involvement at all levels.     </w:t>
      </w:r>
    </w:p>
    <w:p w14:paraId="268CE5F8" w14:textId="77777777" w:rsidR="00A57D8E" w:rsidRDefault="00A57D8E">
      <w:pPr>
        <w:jc w:val="center"/>
        <w:rPr>
          <w:rFonts w:ascii="Times New Roman" w:eastAsia="Times New Roman" w:hAnsi="Times New Roman" w:cs="Times New Roman"/>
          <w:sz w:val="24"/>
        </w:rPr>
      </w:pPr>
    </w:p>
    <w:p w14:paraId="065F1E3C" w14:textId="77777777" w:rsidR="00A57D8E" w:rsidRDefault="003005EB">
      <w:pPr>
        <w:jc w:val="center"/>
        <w:rPr>
          <w:rFonts w:ascii="Times New Roman" w:eastAsia="Times New Roman" w:hAnsi="Times New Roman" w:cs="Times New Roman"/>
          <w:b/>
          <w:sz w:val="24"/>
          <w:u w:val="single"/>
        </w:rPr>
      </w:pPr>
      <w:r>
        <w:rPr>
          <w:rFonts w:ascii="Times New Roman" w:eastAsia="Times New Roman" w:hAnsi="Times New Roman" w:cs="Times New Roman"/>
          <w:b/>
          <w:sz w:val="24"/>
          <w:u w:val="single"/>
        </w:rPr>
        <w:t xml:space="preserve">Methods </w:t>
      </w:r>
    </w:p>
    <w:p w14:paraId="0A178DAF" w14:textId="77777777" w:rsidR="00A57D8E" w:rsidRDefault="00A57D8E">
      <w:pPr>
        <w:jc w:val="center"/>
        <w:rPr>
          <w:rFonts w:ascii="Times New Roman" w:eastAsia="Times New Roman" w:hAnsi="Times New Roman" w:cs="Times New Roman"/>
          <w:sz w:val="24"/>
        </w:rPr>
      </w:pPr>
    </w:p>
    <w:p w14:paraId="44A33AA8" w14:textId="77777777" w:rsidR="00A57D8E" w:rsidRDefault="003005EB">
      <w:pPr>
        <w:jc w:val="center"/>
        <w:rPr>
          <w:rFonts w:ascii="Times New Roman" w:eastAsia="Times New Roman" w:hAnsi="Times New Roman" w:cs="Times New Roman"/>
          <w:b/>
          <w:sz w:val="24"/>
          <w:u w:val="single"/>
        </w:rPr>
      </w:pPr>
      <w:r>
        <w:rPr>
          <w:rFonts w:ascii="Times New Roman" w:eastAsia="Times New Roman" w:hAnsi="Times New Roman" w:cs="Times New Roman"/>
          <w:b/>
          <w:sz w:val="24"/>
          <w:u w:val="single"/>
        </w:rPr>
        <w:t>Results</w:t>
      </w:r>
    </w:p>
    <w:p w14:paraId="450E0ED4" w14:textId="77777777" w:rsidR="00A57D8E" w:rsidRDefault="00A57D8E">
      <w:pPr>
        <w:jc w:val="center"/>
        <w:rPr>
          <w:rFonts w:ascii="Times New Roman" w:eastAsia="Times New Roman" w:hAnsi="Times New Roman" w:cs="Times New Roman"/>
          <w:b/>
          <w:sz w:val="24"/>
          <w:u w:val="single"/>
        </w:rPr>
      </w:pPr>
    </w:p>
    <w:p w14:paraId="475BC603" w14:textId="77777777" w:rsidR="00A57D8E" w:rsidRDefault="003005EB">
      <w:pPr>
        <w:jc w:val="center"/>
        <w:rPr>
          <w:rFonts w:ascii="Times New Roman" w:eastAsia="Times New Roman" w:hAnsi="Times New Roman" w:cs="Times New Roman"/>
          <w:b/>
          <w:sz w:val="24"/>
          <w:u w:val="single"/>
        </w:rPr>
      </w:pPr>
      <w:r>
        <w:rPr>
          <w:rFonts w:ascii="Times New Roman" w:eastAsia="Times New Roman" w:hAnsi="Times New Roman" w:cs="Times New Roman"/>
          <w:b/>
          <w:sz w:val="24"/>
          <w:u w:val="single"/>
        </w:rPr>
        <w:t>Summary and conclusions</w:t>
      </w:r>
    </w:p>
    <w:p w14:paraId="26C8499E" w14:textId="77777777" w:rsidR="00A57D8E" w:rsidRDefault="00A57D8E">
      <w:pPr>
        <w:jc w:val="center"/>
        <w:rPr>
          <w:rFonts w:ascii="Times New Roman" w:eastAsia="Times New Roman" w:hAnsi="Times New Roman" w:cs="Times New Roman"/>
          <w:b/>
          <w:sz w:val="24"/>
        </w:rPr>
      </w:pPr>
    </w:p>
    <w:p w14:paraId="6CBCF4C8" w14:textId="77777777" w:rsidR="00A57D8E" w:rsidRDefault="003005EB">
      <w:pPr>
        <w:jc w:val="center"/>
        <w:rPr>
          <w:rFonts w:ascii="Times New Roman" w:eastAsia="Times New Roman" w:hAnsi="Times New Roman" w:cs="Times New Roman"/>
          <w:b/>
          <w:sz w:val="24"/>
          <w:u w:val="single"/>
        </w:rPr>
      </w:pPr>
      <w:r>
        <w:rPr>
          <w:rFonts w:ascii="Times New Roman" w:eastAsia="Times New Roman" w:hAnsi="Times New Roman" w:cs="Times New Roman"/>
          <w:b/>
          <w:sz w:val="24"/>
          <w:u w:val="single"/>
        </w:rPr>
        <w:t xml:space="preserve">Acknowledgments </w:t>
      </w:r>
    </w:p>
    <w:p w14:paraId="28079A50" w14:textId="080292DE" w:rsidR="00A57D8E" w:rsidRDefault="003005EB">
      <w:pPr>
        <w:ind w:firstLine="720"/>
        <w:rPr>
          <w:rFonts w:ascii="Times New Roman" w:eastAsia="Times New Roman" w:hAnsi="Times New Roman" w:cs="Times New Roman"/>
          <w:sz w:val="24"/>
        </w:rPr>
      </w:pPr>
      <w:r>
        <w:rPr>
          <w:rFonts w:ascii="Times New Roman" w:eastAsia="Times New Roman" w:hAnsi="Times New Roman" w:cs="Times New Roman"/>
          <w:sz w:val="24"/>
        </w:rPr>
        <w:lastRenderedPageBreak/>
        <w:t xml:space="preserve">This study was conducted with support from </w:t>
      </w:r>
      <w:r w:rsidR="000221DC">
        <w:rPr>
          <w:rFonts w:ascii="Times New Roman" w:eastAsia="Times New Roman" w:hAnsi="Times New Roman" w:cs="Times New Roman"/>
          <w:sz w:val="24"/>
        </w:rPr>
        <w:t>Jackson</w:t>
      </w:r>
      <w:r>
        <w:rPr>
          <w:rFonts w:ascii="Times New Roman" w:eastAsia="Times New Roman" w:hAnsi="Times New Roman" w:cs="Times New Roman"/>
          <w:sz w:val="24"/>
        </w:rPr>
        <w:t xml:space="preserve"> State University under CSET </w:t>
      </w:r>
      <w:r w:rsidR="000221DC">
        <w:rPr>
          <w:rFonts w:ascii="Times New Roman" w:eastAsia="Times New Roman" w:hAnsi="Times New Roman" w:cs="Times New Roman"/>
          <w:sz w:val="24"/>
        </w:rPr>
        <w:t>curriculum</w:t>
      </w:r>
      <w:r>
        <w:rPr>
          <w:rFonts w:ascii="Times New Roman" w:eastAsia="Times New Roman" w:hAnsi="Times New Roman" w:cs="Times New Roman"/>
          <w:sz w:val="24"/>
        </w:rPr>
        <w:t xml:space="preserve"> </w:t>
      </w:r>
      <w:r w:rsidR="000221DC">
        <w:rPr>
          <w:rFonts w:ascii="Times New Roman" w:eastAsia="Times New Roman" w:hAnsi="Times New Roman" w:cs="Times New Roman"/>
          <w:sz w:val="24"/>
        </w:rPr>
        <w:t>structure</w:t>
      </w:r>
      <w:r>
        <w:rPr>
          <w:rFonts w:ascii="Times New Roman" w:eastAsia="Times New Roman" w:hAnsi="Times New Roman" w:cs="Times New Roman"/>
          <w:sz w:val="24"/>
        </w:rPr>
        <w:t xml:space="preserve"> and </w:t>
      </w:r>
      <w:r w:rsidR="000221DC">
        <w:rPr>
          <w:rFonts w:ascii="Times New Roman" w:eastAsia="Times New Roman" w:hAnsi="Times New Roman" w:cs="Times New Roman"/>
          <w:sz w:val="24"/>
        </w:rPr>
        <w:t>arrangement</w:t>
      </w:r>
      <w:r>
        <w:rPr>
          <w:rFonts w:ascii="Times New Roman" w:eastAsia="Times New Roman" w:hAnsi="Times New Roman" w:cs="Times New Roman"/>
          <w:sz w:val="24"/>
        </w:rPr>
        <w:t xml:space="preserve"> of the </w:t>
      </w:r>
      <w:r w:rsidR="000221DC">
        <w:rPr>
          <w:rFonts w:ascii="Times New Roman" w:eastAsia="Times New Roman" w:hAnsi="Times New Roman" w:cs="Times New Roman"/>
          <w:sz w:val="24"/>
        </w:rPr>
        <w:t>Environmental</w:t>
      </w:r>
      <w:r>
        <w:rPr>
          <w:rFonts w:ascii="Times New Roman" w:eastAsia="Times New Roman" w:hAnsi="Times New Roman" w:cs="Times New Roman"/>
          <w:sz w:val="24"/>
        </w:rPr>
        <w:t xml:space="preserve"> Science course instructed by professor Dr. Mark </w:t>
      </w:r>
      <w:proofErr w:type="spellStart"/>
      <w:r>
        <w:rPr>
          <w:rFonts w:ascii="Times New Roman" w:eastAsia="Times New Roman" w:hAnsi="Times New Roman" w:cs="Times New Roman"/>
          <w:sz w:val="24"/>
        </w:rPr>
        <w:t>Dugo</w:t>
      </w:r>
      <w:proofErr w:type="spellEnd"/>
      <w:r>
        <w:rPr>
          <w:rFonts w:ascii="Times New Roman" w:eastAsia="Times New Roman" w:hAnsi="Times New Roman" w:cs="Times New Roman"/>
          <w:sz w:val="24"/>
        </w:rPr>
        <w:t xml:space="preserve"> water </w:t>
      </w:r>
      <w:r w:rsidR="000221DC">
        <w:rPr>
          <w:rFonts w:ascii="Times New Roman" w:eastAsia="Times New Roman" w:hAnsi="Times New Roman" w:cs="Times New Roman"/>
          <w:sz w:val="24"/>
        </w:rPr>
        <w:t>ideologist</w:t>
      </w:r>
      <w:r>
        <w:rPr>
          <w:rFonts w:ascii="Times New Roman" w:eastAsia="Times New Roman" w:hAnsi="Times New Roman" w:cs="Times New Roman"/>
          <w:sz w:val="24"/>
        </w:rPr>
        <w:t xml:space="preserve"> and </w:t>
      </w:r>
      <w:r w:rsidR="000221DC">
        <w:rPr>
          <w:rFonts w:ascii="Times New Roman" w:eastAsia="Times New Roman" w:hAnsi="Times New Roman" w:cs="Times New Roman"/>
          <w:sz w:val="24"/>
        </w:rPr>
        <w:t>confidence</w:t>
      </w:r>
      <w:r>
        <w:rPr>
          <w:rFonts w:ascii="Times New Roman" w:eastAsia="Times New Roman" w:hAnsi="Times New Roman" w:cs="Times New Roman"/>
          <w:sz w:val="24"/>
        </w:rPr>
        <w:t xml:space="preserve"> of ecosystem studies and tree </w:t>
      </w:r>
      <w:r w:rsidR="000221DC">
        <w:rPr>
          <w:rFonts w:ascii="Times New Roman" w:eastAsia="Times New Roman" w:hAnsi="Times New Roman" w:cs="Times New Roman"/>
          <w:sz w:val="24"/>
        </w:rPr>
        <w:t>huggers</w:t>
      </w:r>
      <w:r>
        <w:rPr>
          <w:rFonts w:ascii="Times New Roman" w:eastAsia="Times New Roman" w:hAnsi="Times New Roman" w:cs="Times New Roman"/>
          <w:sz w:val="24"/>
        </w:rPr>
        <w:t xml:space="preserve"> </w:t>
      </w:r>
      <w:r w:rsidR="000221DC" w:rsidRPr="000221DC">
        <w:rPr>
          <w:rFonts w:ascii="Times New Roman" w:eastAsia="Times New Roman" w:hAnsi="Times New Roman" w:cs="Times New Roman"/>
          <w:sz w:val="24"/>
        </w:rPr>
        <w:t>vehem</w:t>
      </w:r>
      <w:bookmarkStart w:id="0" w:name="_GoBack"/>
      <w:bookmarkEnd w:id="0"/>
      <w:r w:rsidR="000221DC" w:rsidRPr="000221DC">
        <w:rPr>
          <w:rFonts w:ascii="Times New Roman" w:eastAsia="Times New Roman" w:hAnsi="Times New Roman" w:cs="Times New Roman"/>
          <w:sz w:val="24"/>
        </w:rPr>
        <w:t>ent</w:t>
      </w:r>
      <w:r>
        <w:rPr>
          <w:rFonts w:ascii="Times New Roman" w:eastAsia="Times New Roman" w:hAnsi="Times New Roman" w:cs="Times New Roman"/>
          <w:sz w:val="24"/>
        </w:rPr>
        <w:t xml:space="preserve">.  </w:t>
      </w:r>
    </w:p>
    <w:p w14:paraId="46B7BA11" w14:textId="77777777" w:rsidR="00A57D8E" w:rsidRDefault="003005EB">
      <w:pPr>
        <w:jc w:val="center"/>
        <w:rPr>
          <w:rFonts w:ascii="Times New Roman" w:eastAsia="Times New Roman" w:hAnsi="Times New Roman" w:cs="Times New Roman"/>
          <w:b/>
          <w:sz w:val="24"/>
          <w:u w:val="single"/>
        </w:rPr>
      </w:pPr>
      <w:r>
        <w:rPr>
          <w:rFonts w:ascii="Times New Roman" w:eastAsia="Times New Roman" w:hAnsi="Times New Roman" w:cs="Times New Roman"/>
          <w:b/>
          <w:sz w:val="24"/>
          <w:u w:val="single"/>
        </w:rPr>
        <w:t xml:space="preserve">References  </w:t>
      </w:r>
    </w:p>
    <w:p w14:paraId="1169F133" w14:textId="77777777" w:rsidR="00A57D8E" w:rsidRDefault="003005EB">
      <w:pPr>
        <w:spacing w:after="0" w:line="240" w:lineRule="auto"/>
        <w:ind w:left="-90"/>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 xml:space="preserve">IEA, Smart Grids in Distribution </w:t>
      </w:r>
      <w:r>
        <w:rPr>
          <w:rFonts w:ascii="Times New Roman" w:eastAsia="Times New Roman" w:hAnsi="Times New Roman" w:cs="Times New Roman"/>
          <w:i/>
          <w:color w:val="000000"/>
          <w:sz w:val="24"/>
        </w:rPr>
        <w:t>Networks Roadmap Development and Implementation. 2015</w:t>
      </w:r>
      <w:r>
        <w:rPr>
          <w:rFonts w:ascii="Times New Roman" w:eastAsia="Times New Roman" w:hAnsi="Times New Roman" w:cs="Times New Roman"/>
          <w:color w:val="000000"/>
          <w:sz w:val="24"/>
        </w:rPr>
        <w:t xml:space="preserve"> </w:t>
      </w:r>
      <w:hyperlink r:id="rId5">
        <w:r>
          <w:rPr>
            <w:rFonts w:ascii="Times New Roman" w:eastAsia="Times New Roman" w:hAnsi="Times New Roman" w:cs="Times New Roman"/>
            <w:color w:val="0000FF"/>
            <w:sz w:val="24"/>
            <w:u w:val="single"/>
          </w:rPr>
          <w:t>https://www.ctc-n.org/sites/www.ctcn.org/files/resources/technologyroadmaphow2guideforsmartgridsindistributionnetworks.pdf</w:t>
        </w:r>
      </w:hyperlink>
    </w:p>
    <w:p w14:paraId="2856EEE5" w14:textId="77777777" w:rsidR="00A57D8E" w:rsidRDefault="00A57D8E">
      <w:pPr>
        <w:spacing w:after="0" w:line="240" w:lineRule="auto"/>
        <w:rPr>
          <w:rFonts w:ascii="Times New Roman" w:eastAsia="Times New Roman" w:hAnsi="Times New Roman" w:cs="Times New Roman"/>
          <w:color w:val="000000"/>
          <w:sz w:val="24"/>
        </w:rPr>
      </w:pPr>
    </w:p>
    <w:p w14:paraId="2A1797F7" w14:textId="77777777" w:rsidR="00A57D8E" w:rsidRDefault="00A57D8E">
      <w:pPr>
        <w:spacing w:after="0" w:line="240" w:lineRule="auto"/>
        <w:ind w:left="720"/>
        <w:rPr>
          <w:rFonts w:ascii="Times New Roman" w:eastAsia="Times New Roman" w:hAnsi="Times New Roman" w:cs="Times New Roman"/>
          <w:color w:val="000000"/>
          <w:sz w:val="24"/>
        </w:rPr>
      </w:pPr>
    </w:p>
    <w:p w14:paraId="662DB139" w14:textId="77777777" w:rsidR="00A57D8E" w:rsidRDefault="003005EB">
      <w:pPr>
        <w:numPr>
          <w:ilvl w:val="0"/>
          <w:numId w:val="1"/>
        </w:numPr>
        <w:spacing w:after="0" w:line="240" w:lineRule="auto"/>
        <w:ind w:left="720" w:hanging="360"/>
        <w:rPr>
          <w:rFonts w:ascii="Times New Roman" w:eastAsia="Times New Roman" w:hAnsi="Times New Roman" w:cs="Times New Roman"/>
          <w:color w:val="000000"/>
          <w:sz w:val="24"/>
        </w:rPr>
      </w:pPr>
      <w:proofErr w:type="spellStart"/>
      <w:r>
        <w:rPr>
          <w:rFonts w:ascii="Times New Roman" w:eastAsia="Times New Roman" w:hAnsi="Times New Roman" w:cs="Times New Roman"/>
          <w:color w:val="000000"/>
          <w:sz w:val="24"/>
        </w:rPr>
        <w:t>Pietzcker</w:t>
      </w:r>
      <w:proofErr w:type="spellEnd"/>
      <w:r>
        <w:rPr>
          <w:rFonts w:ascii="Times New Roman" w:eastAsia="Times New Roman" w:hAnsi="Times New Roman" w:cs="Times New Roman"/>
          <w:color w:val="000000"/>
          <w:sz w:val="24"/>
        </w:rPr>
        <w:t xml:space="preserve">, R.C.; </w:t>
      </w:r>
      <w:proofErr w:type="spellStart"/>
      <w:r>
        <w:rPr>
          <w:rFonts w:ascii="Times New Roman" w:eastAsia="Times New Roman" w:hAnsi="Times New Roman" w:cs="Times New Roman"/>
          <w:color w:val="000000"/>
          <w:sz w:val="24"/>
        </w:rPr>
        <w:t>Ueckerdt</w:t>
      </w:r>
      <w:proofErr w:type="spellEnd"/>
      <w:r>
        <w:rPr>
          <w:rFonts w:ascii="Times New Roman" w:eastAsia="Times New Roman" w:hAnsi="Times New Roman" w:cs="Times New Roman"/>
          <w:color w:val="000000"/>
          <w:sz w:val="24"/>
        </w:rPr>
        <w:t xml:space="preserve">, F.; Carrara, S.; de Boer, H.S.; </w:t>
      </w:r>
      <w:proofErr w:type="spellStart"/>
      <w:r>
        <w:rPr>
          <w:rFonts w:ascii="Times New Roman" w:eastAsia="Times New Roman" w:hAnsi="Times New Roman" w:cs="Times New Roman"/>
          <w:color w:val="000000"/>
          <w:sz w:val="24"/>
        </w:rPr>
        <w:t>Després</w:t>
      </w:r>
      <w:proofErr w:type="spellEnd"/>
      <w:r>
        <w:rPr>
          <w:rFonts w:ascii="Times New Roman" w:eastAsia="Times New Roman" w:hAnsi="Times New Roman" w:cs="Times New Roman"/>
          <w:color w:val="000000"/>
          <w:sz w:val="24"/>
        </w:rPr>
        <w:t xml:space="preserve">, J.; Fujimori, S.; Johnson, N.; </w:t>
      </w:r>
      <w:proofErr w:type="spellStart"/>
      <w:r>
        <w:rPr>
          <w:rFonts w:ascii="Times New Roman" w:eastAsia="Times New Roman" w:hAnsi="Times New Roman" w:cs="Times New Roman"/>
          <w:color w:val="000000"/>
          <w:sz w:val="24"/>
        </w:rPr>
        <w:t>Kitous</w:t>
      </w:r>
      <w:proofErr w:type="spellEnd"/>
      <w:r>
        <w:rPr>
          <w:rFonts w:ascii="Times New Roman" w:eastAsia="Times New Roman" w:hAnsi="Times New Roman" w:cs="Times New Roman"/>
          <w:color w:val="000000"/>
          <w:sz w:val="24"/>
        </w:rPr>
        <w:t xml:space="preserve">, A.; Scholz, Y.; Sullivan, P.; et al. System integration of wind and solar power in integrated assessment models: A cross-model evaluation of new approaches. Energy Econ. </w:t>
      </w:r>
      <w:r>
        <w:rPr>
          <w:rFonts w:ascii="Times New Roman" w:eastAsia="Times New Roman" w:hAnsi="Times New Roman" w:cs="Times New Roman"/>
          <w:b/>
          <w:color w:val="000000"/>
          <w:sz w:val="24"/>
        </w:rPr>
        <w:t>2017</w:t>
      </w:r>
      <w:r>
        <w:rPr>
          <w:rFonts w:ascii="Times New Roman" w:eastAsia="Times New Roman" w:hAnsi="Times New Roman" w:cs="Times New Roman"/>
          <w:color w:val="000000"/>
          <w:sz w:val="24"/>
        </w:rPr>
        <w:t>, 64, 583–599. [</w:t>
      </w:r>
      <w:proofErr w:type="spellStart"/>
      <w:r>
        <w:rPr>
          <w:rFonts w:ascii="Times New Roman" w:eastAsia="Times New Roman" w:hAnsi="Times New Roman" w:cs="Times New Roman"/>
          <w:color w:val="0875B8"/>
          <w:sz w:val="24"/>
        </w:rPr>
        <w:t>CrossRef</w:t>
      </w:r>
      <w:proofErr w:type="spellEnd"/>
      <w:r>
        <w:rPr>
          <w:rFonts w:ascii="Times New Roman" w:eastAsia="Times New Roman" w:hAnsi="Times New Roman" w:cs="Times New Roman"/>
          <w:color w:val="000000"/>
          <w:sz w:val="24"/>
        </w:rPr>
        <w:t>]</w:t>
      </w:r>
    </w:p>
    <w:p w14:paraId="01F4D764" w14:textId="77777777" w:rsidR="00A57D8E" w:rsidRDefault="00A57D8E">
      <w:pPr>
        <w:rPr>
          <w:rFonts w:ascii="Times New Roman" w:eastAsia="Times New Roman" w:hAnsi="Times New Roman" w:cs="Times New Roman"/>
          <w:color w:val="000000"/>
          <w:sz w:val="24"/>
        </w:rPr>
      </w:pPr>
    </w:p>
    <w:p w14:paraId="28F7B839" w14:textId="77777777" w:rsidR="00A57D8E" w:rsidRDefault="003005EB">
      <w:pPr>
        <w:rPr>
          <w:rFonts w:ascii="Times New Roman" w:eastAsia="Times New Roman" w:hAnsi="Times New Roman" w:cs="Times New Roman"/>
          <w:sz w:val="24"/>
          <w:shd w:val="clear" w:color="auto" w:fill="FFFFFF"/>
        </w:rPr>
      </w:pPr>
      <w:proofErr w:type="spellStart"/>
      <w:r>
        <w:rPr>
          <w:rFonts w:ascii="Times New Roman" w:eastAsia="Times New Roman" w:hAnsi="Times New Roman" w:cs="Times New Roman"/>
          <w:color w:val="000000"/>
          <w:sz w:val="24"/>
        </w:rPr>
        <w:t>Coviellom</w:t>
      </w:r>
      <w:proofErr w:type="spellEnd"/>
      <w:r>
        <w:rPr>
          <w:rFonts w:ascii="Times New Roman" w:eastAsia="Times New Roman" w:hAnsi="Times New Roman" w:cs="Times New Roman"/>
          <w:color w:val="000000"/>
          <w:sz w:val="24"/>
        </w:rPr>
        <w:t xml:space="preserve">, </w:t>
      </w:r>
      <w:proofErr w:type="gramStart"/>
      <w:r>
        <w:rPr>
          <w:rFonts w:ascii="Times New Roman" w:eastAsia="Times New Roman" w:hAnsi="Times New Roman" w:cs="Times New Roman"/>
          <w:color w:val="000000"/>
          <w:sz w:val="24"/>
        </w:rPr>
        <w:t>M ;</w:t>
      </w:r>
      <w:proofErr w:type="gram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Nigris</w:t>
      </w:r>
      <w:proofErr w:type="spellEnd"/>
      <w:r>
        <w:rPr>
          <w:rFonts w:ascii="Times New Roman" w:eastAsia="Times New Roman" w:hAnsi="Times New Roman" w:cs="Times New Roman"/>
          <w:color w:val="000000"/>
          <w:sz w:val="24"/>
        </w:rPr>
        <w:t xml:space="preserve">, M. </w:t>
      </w:r>
      <w:r>
        <w:rPr>
          <w:rFonts w:ascii="Times New Roman" w:eastAsia="Times New Roman" w:hAnsi="Times New Roman" w:cs="Times New Roman"/>
          <w:sz w:val="24"/>
          <w:shd w:val="clear" w:color="auto" w:fill="FFFFFF"/>
        </w:rPr>
        <w:t xml:space="preserve">Smart grids in Latin America and the Caribbean. ECLAC. 75-90 </w:t>
      </w:r>
      <w:hyperlink r:id="rId6">
        <w:r>
          <w:rPr>
            <w:rFonts w:ascii="Times New Roman" w:eastAsia="Times New Roman" w:hAnsi="Times New Roman" w:cs="Times New Roman"/>
            <w:color w:val="0000FF"/>
            <w:sz w:val="24"/>
            <w:u w:val="single"/>
            <w:shd w:val="clear" w:color="auto" w:fill="FFFFFF"/>
          </w:rPr>
          <w:t>https://core.ac.uk/reader/38672284</w:t>
        </w:r>
      </w:hyperlink>
    </w:p>
    <w:p w14:paraId="42633295" w14:textId="77777777" w:rsidR="00A57D8E" w:rsidRDefault="003005EB">
      <w:pPr>
        <w:rPr>
          <w:rFonts w:ascii="Times New Roman" w:eastAsia="Times New Roman" w:hAnsi="Times New Roman" w:cs="Times New Roman"/>
          <w:sz w:val="24"/>
        </w:rPr>
      </w:pPr>
      <w:r>
        <w:rPr>
          <w:rFonts w:ascii="Times New Roman" w:eastAsia="Times New Roman" w:hAnsi="Times New Roman" w:cs="Times New Roman"/>
          <w:sz w:val="24"/>
        </w:rPr>
        <w:t xml:space="preserve">Entergy Efficiency &amp; Renewable </w:t>
      </w:r>
      <w:proofErr w:type="spellStart"/>
      <w:r>
        <w:rPr>
          <w:rFonts w:ascii="Times New Roman" w:eastAsia="Times New Roman" w:hAnsi="Times New Roman" w:cs="Times New Roman"/>
          <w:sz w:val="24"/>
        </w:rPr>
        <w:t>Enregy</w:t>
      </w:r>
      <w:proofErr w:type="spellEnd"/>
      <w:r>
        <w:rPr>
          <w:rFonts w:ascii="Times New Roman" w:eastAsia="Times New Roman" w:hAnsi="Times New Roman" w:cs="Times New Roman"/>
          <w:sz w:val="24"/>
        </w:rPr>
        <w:t xml:space="preserve">. Types of Hydropower Plants </w:t>
      </w:r>
      <w:hyperlink r:id="rId7">
        <w:r>
          <w:rPr>
            <w:rFonts w:ascii="Times New Roman" w:eastAsia="Times New Roman" w:hAnsi="Times New Roman" w:cs="Times New Roman"/>
            <w:color w:val="0000FF"/>
            <w:sz w:val="24"/>
            <w:u w:val="single"/>
          </w:rPr>
          <w:t>https://www.energy.gov/eere/water/types-hydropower-plants</w:t>
        </w:r>
      </w:hyperlink>
    </w:p>
    <w:p w14:paraId="729860BB" w14:textId="77777777" w:rsidR="00A57D8E" w:rsidRDefault="003005EB">
      <w:pPr>
        <w:rPr>
          <w:rFonts w:ascii="Times New Roman" w:eastAsia="Times New Roman" w:hAnsi="Times New Roman" w:cs="Times New Roman"/>
          <w:sz w:val="24"/>
        </w:rPr>
      </w:pPr>
      <w:r>
        <w:rPr>
          <w:rFonts w:ascii="Times New Roman" w:eastAsia="Times New Roman" w:hAnsi="Times New Roman" w:cs="Times New Roman"/>
          <w:sz w:val="24"/>
        </w:rPr>
        <w:t xml:space="preserve">ESI Africa. Togo low-Carbon power supply agreement could include hydropower. </w:t>
      </w:r>
      <w:hyperlink r:id="rId8">
        <w:r>
          <w:rPr>
            <w:rFonts w:ascii="Times New Roman" w:eastAsia="Times New Roman" w:hAnsi="Times New Roman" w:cs="Times New Roman"/>
            <w:color w:val="0563C1"/>
            <w:sz w:val="24"/>
            <w:u w:val="single"/>
          </w:rPr>
          <w:t>https://www.hydroreview.com/2020/01/23/togo-low-carbon-power-supply-agreement-could-include-hydropower/#gref</w:t>
        </w:r>
      </w:hyperlink>
      <w:r>
        <w:rPr>
          <w:rFonts w:ascii="Times New Roman" w:eastAsia="Times New Roman" w:hAnsi="Times New Roman" w:cs="Times New Roman"/>
          <w:sz w:val="24"/>
        </w:rPr>
        <w:t>. 2020</w:t>
      </w:r>
    </w:p>
    <w:p w14:paraId="5AC3E7A2" w14:textId="77777777" w:rsidR="00A57D8E" w:rsidRDefault="003005EB">
      <w:pPr>
        <w:rPr>
          <w:rFonts w:ascii="Times New Roman" w:eastAsia="Times New Roman" w:hAnsi="Times New Roman" w:cs="Times New Roman"/>
          <w:sz w:val="24"/>
        </w:rPr>
      </w:pPr>
      <w:proofErr w:type="spellStart"/>
      <w:proofErr w:type="gramStart"/>
      <w:r>
        <w:rPr>
          <w:rFonts w:ascii="Times New Roman" w:eastAsia="Times New Roman" w:hAnsi="Times New Roman" w:cs="Times New Roman"/>
          <w:sz w:val="24"/>
        </w:rPr>
        <w:t>Ovoenergy</w:t>
      </w:r>
      <w:proofErr w:type="spellEnd"/>
      <w:r>
        <w:rPr>
          <w:rFonts w:ascii="Times New Roman" w:eastAsia="Times New Roman" w:hAnsi="Times New Roman" w:cs="Times New Roman"/>
          <w:sz w:val="24"/>
        </w:rPr>
        <w:t xml:space="preserve"> .</w:t>
      </w:r>
      <w:proofErr w:type="gramEnd"/>
      <w:r>
        <w:rPr>
          <w:rFonts w:ascii="Times New Roman" w:eastAsia="Times New Roman" w:hAnsi="Times New Roman" w:cs="Times New Roman"/>
          <w:sz w:val="24"/>
        </w:rPr>
        <w:t xml:space="preserve"> Energy Sources. </w:t>
      </w:r>
      <w:hyperlink r:id="rId9">
        <w:r>
          <w:rPr>
            <w:rFonts w:ascii="Times New Roman" w:eastAsia="Times New Roman" w:hAnsi="Times New Roman" w:cs="Times New Roman"/>
            <w:color w:val="0000FF"/>
            <w:sz w:val="24"/>
            <w:u w:val="single"/>
          </w:rPr>
          <w:t>https://www.ovoenergy.com/guides/energy-sources/bio-fuels.html</w:t>
        </w:r>
      </w:hyperlink>
    </w:p>
    <w:p w14:paraId="289A1BE0" w14:textId="77777777" w:rsidR="00A57D8E" w:rsidRDefault="003005EB">
      <w:pPr>
        <w:rPr>
          <w:rFonts w:ascii="Times New Roman" w:eastAsia="Times New Roman" w:hAnsi="Times New Roman" w:cs="Times New Roman"/>
          <w:sz w:val="24"/>
        </w:rPr>
      </w:pPr>
      <w:r>
        <w:rPr>
          <w:rFonts w:ascii="Times New Roman" w:eastAsia="Times New Roman" w:hAnsi="Times New Roman" w:cs="Times New Roman"/>
          <w:sz w:val="24"/>
        </w:rPr>
        <w:t xml:space="preserve"> Renewable and </w:t>
      </w:r>
      <w:proofErr w:type="gramStart"/>
      <w:r>
        <w:rPr>
          <w:rFonts w:ascii="Times New Roman" w:eastAsia="Times New Roman" w:hAnsi="Times New Roman" w:cs="Times New Roman"/>
          <w:sz w:val="24"/>
        </w:rPr>
        <w:t>Non Renewable</w:t>
      </w:r>
      <w:proofErr w:type="gramEnd"/>
      <w:r>
        <w:rPr>
          <w:rFonts w:ascii="Times New Roman" w:eastAsia="Times New Roman" w:hAnsi="Times New Roman" w:cs="Times New Roman"/>
          <w:sz w:val="24"/>
        </w:rPr>
        <w:t xml:space="preserve"> Energy Sources Explained. </w:t>
      </w:r>
      <w:hyperlink r:id="rId10">
        <w:r>
          <w:rPr>
            <w:rFonts w:ascii="Times New Roman" w:eastAsia="Times New Roman" w:hAnsi="Times New Roman" w:cs="Times New Roman"/>
            <w:color w:val="0000FF"/>
            <w:sz w:val="24"/>
            <w:u w:val="single"/>
          </w:rPr>
          <w:t>https://greenplanetethics.com/renewable-and-non-renewable-energy-sources-explained/</w:t>
        </w:r>
      </w:hyperlink>
      <w:r>
        <w:rPr>
          <w:rFonts w:ascii="Times New Roman" w:eastAsia="Times New Roman" w:hAnsi="Times New Roman" w:cs="Times New Roman"/>
          <w:sz w:val="24"/>
        </w:rPr>
        <w:t>. 2013</w:t>
      </w:r>
    </w:p>
    <w:p w14:paraId="3B2C3B0A" w14:textId="77777777" w:rsidR="00A57D8E" w:rsidRDefault="00A57D8E">
      <w:pPr>
        <w:rPr>
          <w:rFonts w:ascii="Times New Roman" w:eastAsia="Times New Roman" w:hAnsi="Times New Roman" w:cs="Times New Roman"/>
          <w:sz w:val="24"/>
        </w:rPr>
      </w:pPr>
    </w:p>
    <w:p w14:paraId="2AE1C03B" w14:textId="77777777" w:rsidR="00A57D8E" w:rsidRDefault="00A57D8E">
      <w:pPr>
        <w:rPr>
          <w:rFonts w:ascii="Times New Roman" w:eastAsia="Times New Roman" w:hAnsi="Times New Roman" w:cs="Times New Roman"/>
          <w:sz w:val="24"/>
        </w:rPr>
      </w:pPr>
    </w:p>
    <w:p w14:paraId="319869DB" w14:textId="77777777" w:rsidR="00A57D8E" w:rsidRDefault="00A57D8E">
      <w:pPr>
        <w:rPr>
          <w:rFonts w:ascii="Times New Roman" w:eastAsia="Times New Roman" w:hAnsi="Times New Roman" w:cs="Times New Roman"/>
          <w:sz w:val="24"/>
        </w:rPr>
      </w:pPr>
    </w:p>
    <w:p w14:paraId="3F21C8E8" w14:textId="77777777" w:rsidR="00A57D8E" w:rsidRDefault="00A57D8E">
      <w:pPr>
        <w:rPr>
          <w:rFonts w:ascii="Times New Roman" w:eastAsia="Times New Roman" w:hAnsi="Times New Roman" w:cs="Times New Roman"/>
          <w:sz w:val="24"/>
        </w:rPr>
      </w:pPr>
    </w:p>
    <w:sectPr w:rsidR="00A57D8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8B65E81"/>
    <w:multiLevelType w:val="multilevel"/>
    <w:tmpl w:val="87B48B8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7D8E"/>
    <w:rsid w:val="000221DC"/>
    <w:rsid w:val="003005EB"/>
    <w:rsid w:val="00A57D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D51DE5"/>
  <w15:docId w15:val="{C5AED545-4A19-43FC-8347-A81C985F21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https://www.hydroreview.com/2020/01/23/togo-low-carbon-power-supply-agreement-could-include-hydropower/" TargetMode="External"/><Relationship Id="rId3" Type="http://schemas.openxmlformats.org/officeDocument/2006/relationships/settings" Target="settings.xml"/><Relationship Id="rId7" Type="http://schemas.openxmlformats.org/officeDocument/2006/relationships/hyperlink" Target="https://www.energy.gov/eere/water/types-hydropower-plants"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core.ac.uk/reader/38672284" TargetMode="External"/><Relationship Id="rId11" Type="http://schemas.openxmlformats.org/officeDocument/2006/relationships/fontTable" Target="fontTable.xml"/><Relationship Id="rId5" Type="http://schemas.openxmlformats.org/officeDocument/2006/relationships/hyperlink" Target="https://www.ctc-n.org/sites/www.ctcn.org/files/resources/technologyroadmaphow2guideforsmartgridsindistributionnetworks.pdf" TargetMode="External"/><Relationship Id="rId10" Type="http://schemas.openxmlformats.org/officeDocument/2006/relationships/hyperlink" Target="https://greenplanetethics.com/renewable-and-non-renewable-energy-sources-explained/" TargetMode="External"/><Relationship Id="rId4" Type="http://schemas.openxmlformats.org/officeDocument/2006/relationships/webSettings" Target="webSettings.xml"/><Relationship Id="rId9" Type="http://schemas.openxmlformats.org/officeDocument/2006/relationships/hyperlink" Target="https://www.ovoenergy.com/guides/energy-sources/bio-fuels.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66</TotalTime>
  <Pages>4</Pages>
  <Words>1065</Words>
  <Characters>6074</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MAC</dc:creator>
  <cp:keywords/>
  <dc:description/>
  <cp:lastModifiedBy>MAC</cp:lastModifiedBy>
  <cp:revision>1</cp:revision>
  <dcterms:created xsi:type="dcterms:W3CDTF">2020-07-16T23:45:00Z</dcterms:created>
  <dcterms:modified xsi:type="dcterms:W3CDTF">2020-07-21T05:09:00Z</dcterms:modified>
</cp:coreProperties>
</file>