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A86" w:rsidRPr="00874EE9" w:rsidRDefault="00FB7BE0">
      <w:pPr>
        <w:rPr>
          <w:rFonts w:ascii="Times New Roman" w:hAnsi="Times New Roman" w:cs="Times New Roman"/>
          <w:b/>
          <w:sz w:val="24"/>
          <w:szCs w:val="24"/>
          <w:u w:val="single"/>
        </w:rPr>
      </w:pPr>
      <w:r w:rsidRPr="00874EE9">
        <w:rPr>
          <w:rFonts w:ascii="Times New Roman" w:hAnsi="Times New Roman" w:cs="Times New Roman"/>
          <w:b/>
          <w:sz w:val="24"/>
          <w:szCs w:val="24"/>
          <w:u w:val="single"/>
        </w:rPr>
        <w:t>INTRODUCTION</w:t>
      </w:r>
    </w:p>
    <w:p w:rsidR="001A69EF" w:rsidRPr="004B18DA" w:rsidRDefault="006B30FE" w:rsidP="00FB7BE0">
      <w:pPr>
        <w:spacing w:line="240" w:lineRule="auto"/>
        <w:rPr>
          <w:rFonts w:ascii="Times New Roman" w:hAnsi="Times New Roman" w:cs="Times New Roman"/>
          <w:sz w:val="24"/>
          <w:szCs w:val="24"/>
        </w:rPr>
      </w:pPr>
      <w:r w:rsidRPr="004B18DA">
        <w:rPr>
          <w:rFonts w:ascii="Times New Roman" w:hAnsi="Times New Roman" w:cs="Times New Roman"/>
          <w:sz w:val="24"/>
          <w:szCs w:val="24"/>
        </w:rPr>
        <w:t>Silicon Valley</w:t>
      </w:r>
      <w:r w:rsidR="001A69EF" w:rsidRPr="004B18DA">
        <w:rPr>
          <w:rFonts w:ascii="Times New Roman" w:hAnsi="Times New Roman" w:cs="Times New Roman"/>
          <w:sz w:val="24"/>
          <w:szCs w:val="24"/>
        </w:rPr>
        <w:t xml:space="preserve"> bank(SVB) is a high-tech commercial bank based in the US. It was founded in 1983, therefore is aged 38 and has a total asset volume of $84.48 billion and total equity of $5.8 billion as per 2020 statistics. The </w:t>
      </w:r>
      <w:r w:rsidRPr="004B18DA">
        <w:rPr>
          <w:rFonts w:ascii="Times New Roman" w:hAnsi="Times New Roman" w:cs="Times New Roman"/>
          <w:sz w:val="24"/>
          <w:szCs w:val="24"/>
        </w:rPr>
        <w:t>bank has more than 4930 employees who earn an average salary of $101485 per year</w:t>
      </w:r>
      <w:r w:rsidR="001A69EF" w:rsidRPr="004B18DA">
        <w:rPr>
          <w:rFonts w:ascii="Times New Roman" w:hAnsi="Times New Roman" w:cs="Times New Roman"/>
          <w:sz w:val="24"/>
          <w:szCs w:val="24"/>
        </w:rPr>
        <w:t xml:space="preserve"> and has 29 operational offices in the united states and subsidiaries in: London in United Kingdom, </w:t>
      </w:r>
      <w:r w:rsidRPr="004B18DA">
        <w:rPr>
          <w:rFonts w:ascii="Times New Roman" w:hAnsi="Times New Roman" w:cs="Times New Roman"/>
          <w:sz w:val="24"/>
          <w:szCs w:val="24"/>
        </w:rPr>
        <w:t>Hong Kong</w:t>
      </w:r>
      <w:r w:rsidR="001A69EF" w:rsidRPr="004B18DA">
        <w:rPr>
          <w:rFonts w:ascii="Times New Roman" w:hAnsi="Times New Roman" w:cs="Times New Roman"/>
          <w:sz w:val="24"/>
          <w:szCs w:val="24"/>
        </w:rPr>
        <w:t xml:space="preserve">, Beijing and Shanghai in China, Herzliya Pituah </w:t>
      </w:r>
      <w:r w:rsidRPr="004B18DA">
        <w:rPr>
          <w:rFonts w:ascii="Times New Roman" w:hAnsi="Times New Roman" w:cs="Times New Roman"/>
          <w:sz w:val="24"/>
          <w:szCs w:val="24"/>
        </w:rPr>
        <w:t>in Israel</w:t>
      </w:r>
      <w:r w:rsidR="001A69EF" w:rsidRPr="004B18DA">
        <w:rPr>
          <w:rFonts w:ascii="Times New Roman" w:hAnsi="Times New Roman" w:cs="Times New Roman"/>
          <w:sz w:val="24"/>
          <w:szCs w:val="24"/>
        </w:rPr>
        <w:t xml:space="preserve">, Frankfurt in Germany and Toronto in Canada. The bank has a capital ratio </w:t>
      </w:r>
      <w:r w:rsidR="00804206" w:rsidRPr="004B18DA">
        <w:rPr>
          <w:rFonts w:ascii="Times New Roman" w:hAnsi="Times New Roman" w:cs="Times New Roman"/>
          <w:sz w:val="24"/>
          <w:szCs w:val="24"/>
        </w:rPr>
        <w:t>of 12.08</w:t>
      </w:r>
      <w:r w:rsidRPr="004B18DA">
        <w:rPr>
          <w:rFonts w:ascii="Times New Roman" w:hAnsi="Times New Roman" w:cs="Times New Roman"/>
          <w:sz w:val="24"/>
          <w:szCs w:val="24"/>
        </w:rPr>
        <w:t>% tier 1</w:t>
      </w:r>
      <w:r w:rsidR="00F36653" w:rsidRPr="004B18DA">
        <w:rPr>
          <w:rFonts w:ascii="Times New Roman" w:hAnsi="Times New Roman" w:cs="Times New Roman"/>
          <w:sz w:val="24"/>
          <w:szCs w:val="24"/>
        </w:rPr>
        <w:t>.</w:t>
      </w:r>
    </w:p>
    <w:p w:rsidR="00F36653" w:rsidRPr="004B18DA" w:rsidRDefault="00F36653" w:rsidP="00FB7BE0">
      <w:pPr>
        <w:spacing w:line="240" w:lineRule="auto"/>
        <w:rPr>
          <w:rFonts w:ascii="Times New Roman" w:hAnsi="Times New Roman" w:cs="Times New Roman"/>
          <w:sz w:val="24"/>
          <w:szCs w:val="24"/>
        </w:rPr>
      </w:pPr>
    </w:p>
    <w:p w:rsidR="00F36653" w:rsidRPr="00A748D6" w:rsidRDefault="00F36653" w:rsidP="00FB7BE0">
      <w:pPr>
        <w:spacing w:line="240" w:lineRule="auto"/>
        <w:rPr>
          <w:rFonts w:ascii="Times New Roman" w:hAnsi="Times New Roman" w:cs="Times New Roman"/>
          <w:b/>
          <w:sz w:val="24"/>
          <w:szCs w:val="24"/>
        </w:rPr>
      </w:pPr>
      <w:r w:rsidRPr="00A748D6">
        <w:rPr>
          <w:rFonts w:ascii="Times New Roman" w:hAnsi="Times New Roman" w:cs="Times New Roman"/>
          <w:b/>
          <w:sz w:val="24"/>
          <w:szCs w:val="24"/>
        </w:rPr>
        <w:t>Part A:</w:t>
      </w:r>
      <w:r w:rsidR="0070404A" w:rsidRPr="00A748D6">
        <w:rPr>
          <w:rFonts w:ascii="Times New Roman" w:hAnsi="Times New Roman" w:cs="Times New Roman"/>
          <w:b/>
          <w:sz w:val="24"/>
          <w:szCs w:val="24"/>
        </w:rPr>
        <w:t xml:space="preserve"> </w:t>
      </w:r>
      <w:r w:rsidRPr="00A748D6">
        <w:rPr>
          <w:rFonts w:ascii="Times New Roman" w:hAnsi="Times New Roman" w:cs="Times New Roman"/>
          <w:b/>
          <w:sz w:val="24"/>
          <w:szCs w:val="24"/>
        </w:rPr>
        <w:t>performance analysis</w:t>
      </w:r>
    </w:p>
    <w:tbl>
      <w:tblPr>
        <w:tblW w:w="13821" w:type="dxa"/>
        <w:tblInd w:w="-289" w:type="dxa"/>
        <w:tblLook w:val="04A0" w:firstRow="1" w:lastRow="0" w:firstColumn="1" w:lastColumn="0" w:noHBand="0" w:noVBand="1"/>
      </w:tblPr>
      <w:tblGrid>
        <w:gridCol w:w="3686"/>
        <w:gridCol w:w="1493"/>
        <w:gridCol w:w="1476"/>
        <w:gridCol w:w="1476"/>
        <w:gridCol w:w="1476"/>
        <w:gridCol w:w="4606"/>
      </w:tblGrid>
      <w:tr w:rsidR="00BC2AB8"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rPr>
                <w:rFonts w:ascii="Times New Roman" w:eastAsia="Times New Roman" w:hAnsi="Times New Roman" w:cs="Times New Roman"/>
                <w:sz w:val="24"/>
                <w:szCs w:val="24"/>
              </w:rPr>
            </w:pPr>
          </w:p>
        </w:tc>
        <w:tc>
          <w:tcPr>
            <w:tcW w:w="10135" w:type="dxa"/>
            <w:gridSpan w:val="5"/>
            <w:tcBorders>
              <w:top w:val="single" w:sz="4" w:space="0" w:color="auto"/>
              <w:left w:val="single" w:sz="4" w:space="0" w:color="auto"/>
              <w:bottom w:val="single" w:sz="4" w:space="0" w:color="auto"/>
              <w:right w:val="nil"/>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Silicon Valley Bank</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b/>
                <w:bCs/>
                <w:i/>
                <w:iCs/>
                <w:color w:val="000000"/>
                <w:sz w:val="24"/>
                <w:szCs w:val="24"/>
                <w:u w:val="single"/>
              </w:rPr>
            </w:pPr>
            <w:r w:rsidRPr="004B18DA">
              <w:rPr>
                <w:rFonts w:ascii="Times New Roman" w:eastAsia="Times New Roman" w:hAnsi="Times New Roman" w:cs="Times New Roman"/>
                <w:b/>
                <w:bCs/>
                <w:i/>
                <w:iCs/>
                <w:color w:val="000000"/>
                <w:sz w:val="24"/>
                <w:szCs w:val="24"/>
                <w:u w:val="single"/>
              </w:rPr>
              <w:t>PROFITABILITY RATIOS</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b/>
                <w:bCs/>
                <w:color w:val="000000"/>
                <w:sz w:val="24"/>
                <w:szCs w:val="24"/>
                <w:u w:val="single"/>
              </w:rPr>
            </w:pPr>
            <w:r w:rsidRPr="004B18DA">
              <w:rPr>
                <w:rFonts w:ascii="Times New Roman" w:eastAsia="Times New Roman" w:hAnsi="Times New Roman" w:cs="Times New Roman"/>
                <w:b/>
                <w:bCs/>
                <w:color w:val="000000"/>
                <w:sz w:val="24"/>
                <w:szCs w:val="24"/>
                <w:u w:val="single"/>
              </w:rPr>
              <w:t>2020</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b/>
                <w:bCs/>
                <w:color w:val="000000"/>
                <w:sz w:val="24"/>
                <w:szCs w:val="24"/>
                <w:u w:val="single"/>
              </w:rPr>
            </w:pPr>
            <w:r w:rsidRPr="004B18DA">
              <w:rPr>
                <w:rFonts w:ascii="Times New Roman" w:eastAsia="Times New Roman" w:hAnsi="Times New Roman" w:cs="Times New Roman"/>
                <w:b/>
                <w:bCs/>
                <w:color w:val="000000"/>
                <w:sz w:val="24"/>
                <w:szCs w:val="24"/>
                <w:u w:val="single"/>
              </w:rPr>
              <w:t>2019</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b/>
                <w:bCs/>
                <w:color w:val="000000"/>
                <w:sz w:val="24"/>
                <w:szCs w:val="24"/>
                <w:u w:val="single"/>
              </w:rPr>
            </w:pPr>
            <w:r w:rsidRPr="004B18DA">
              <w:rPr>
                <w:rFonts w:ascii="Times New Roman" w:eastAsia="Times New Roman" w:hAnsi="Times New Roman" w:cs="Times New Roman"/>
                <w:b/>
                <w:bCs/>
                <w:color w:val="000000"/>
                <w:sz w:val="24"/>
                <w:szCs w:val="24"/>
                <w:u w:val="single"/>
              </w:rPr>
              <w:t>2018</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b/>
                <w:bCs/>
                <w:color w:val="000000"/>
                <w:sz w:val="24"/>
                <w:szCs w:val="24"/>
                <w:u w:val="single"/>
              </w:rPr>
            </w:pPr>
            <w:r w:rsidRPr="004B18DA">
              <w:rPr>
                <w:rFonts w:ascii="Times New Roman" w:eastAsia="Times New Roman" w:hAnsi="Times New Roman" w:cs="Times New Roman"/>
                <w:b/>
                <w:bCs/>
                <w:color w:val="000000"/>
                <w:sz w:val="24"/>
                <w:szCs w:val="24"/>
                <w:u w:val="single"/>
              </w:rPr>
              <w:t>2017</w:t>
            </w: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BC2AB8" w:rsidRPr="004B18DA" w:rsidRDefault="00BC2AB8" w:rsidP="002656B0">
            <w:pPr>
              <w:spacing w:after="0" w:line="240" w:lineRule="auto"/>
              <w:rPr>
                <w:rFonts w:ascii="Times New Roman" w:eastAsia="Times New Roman" w:hAnsi="Times New Roman" w:cs="Times New Roman"/>
                <w:b/>
                <w:bCs/>
                <w:color w:val="000000"/>
                <w:sz w:val="24"/>
                <w:szCs w:val="24"/>
                <w:u w:val="single"/>
              </w:rPr>
            </w:pPr>
            <w:r w:rsidRPr="004B18DA">
              <w:rPr>
                <w:rFonts w:ascii="Times New Roman" w:eastAsia="Times New Roman" w:hAnsi="Times New Roman" w:cs="Times New Roman"/>
                <w:b/>
                <w:bCs/>
                <w:color w:val="000000"/>
                <w:sz w:val="24"/>
                <w:szCs w:val="24"/>
                <w:u w:val="single"/>
              </w:rPr>
              <w:t>2016</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ROE</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0.1683</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0.2003</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0.2057</w:t>
            </w:r>
          </w:p>
        </w:tc>
        <w:tc>
          <w:tcPr>
            <w:tcW w:w="1084"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0.1238</w:t>
            </w:r>
          </w:p>
        </w:tc>
        <w:tc>
          <w:tcPr>
            <w:tcW w:w="4606" w:type="dxa"/>
            <w:tcBorders>
              <w:top w:val="single" w:sz="4" w:space="0" w:color="auto"/>
              <w:left w:val="single" w:sz="4" w:space="0" w:color="auto"/>
              <w:bottom w:val="single" w:sz="4" w:space="0" w:color="auto"/>
              <w:right w:val="nil"/>
            </w:tcBorders>
            <w:shd w:val="clear" w:color="auto" w:fill="auto"/>
            <w:noWrap/>
            <w:hideMark/>
          </w:tcPr>
          <w:p w:rsidR="00BC2AB8" w:rsidRPr="004B18DA" w:rsidRDefault="00BC2AB8" w:rsidP="00016F24">
            <w:pPr>
              <w:spacing w:after="0" w:line="240" w:lineRule="auto"/>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0.109</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ROA</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1.39%</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1.80%</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1.76%</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1.01%</w:t>
            </w: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BC2AB8" w:rsidRPr="004B18DA" w:rsidRDefault="00BC2AB8" w:rsidP="002656B0">
            <w:pPr>
              <w:spacing w:after="0" w:line="240" w:lineRule="auto"/>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0.87%</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EM= ROE/ROA</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12.10791367</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11.1277778</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11.6875</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12.2574257</w:t>
            </w: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BC2AB8" w:rsidRPr="004B18DA" w:rsidRDefault="00BC2AB8" w:rsidP="002656B0">
            <w:pPr>
              <w:spacing w:after="0" w:line="240" w:lineRule="auto"/>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12.5287356</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AU (Income)</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0.0251</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0.0332</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0.0343</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0.0294</w:t>
            </w: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BC2AB8" w:rsidRPr="004B18DA" w:rsidRDefault="00BC2AB8" w:rsidP="002656B0">
            <w:pPr>
              <w:spacing w:after="0" w:line="240" w:lineRule="auto"/>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0.0262</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Interest income/ TA</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16.83</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20.03</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20.57</w:t>
            </w:r>
          </w:p>
        </w:tc>
        <w:tc>
          <w:tcPr>
            <w:tcW w:w="1084"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12.38</w:t>
            </w:r>
          </w:p>
        </w:tc>
        <w:tc>
          <w:tcPr>
            <w:tcW w:w="4606" w:type="dxa"/>
            <w:tcBorders>
              <w:top w:val="single" w:sz="4" w:space="0" w:color="auto"/>
              <w:left w:val="single" w:sz="4" w:space="0" w:color="auto"/>
              <w:bottom w:val="single" w:sz="4" w:space="0" w:color="auto"/>
              <w:right w:val="nil"/>
            </w:tcBorders>
            <w:shd w:val="clear" w:color="auto" w:fill="auto"/>
            <w:noWrap/>
            <w:hideMark/>
          </w:tcPr>
          <w:p w:rsidR="00BC2AB8" w:rsidRPr="004B18DA" w:rsidRDefault="00BC2AB8" w:rsidP="002656B0">
            <w:pPr>
              <w:spacing w:after="0" w:line="240" w:lineRule="auto"/>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10.90</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Average loans/ TA</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0.434377612</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0.47327061</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0.464076702</w:t>
            </w:r>
          </w:p>
        </w:tc>
        <w:tc>
          <w:tcPr>
            <w:tcW w:w="1084"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0.43735583</w:t>
            </w:r>
          </w:p>
        </w:tc>
        <w:tc>
          <w:tcPr>
            <w:tcW w:w="4606" w:type="dxa"/>
            <w:tcBorders>
              <w:top w:val="single" w:sz="4" w:space="0" w:color="auto"/>
              <w:left w:val="single" w:sz="4" w:space="0" w:color="auto"/>
              <w:bottom w:val="single" w:sz="4" w:space="0" w:color="auto"/>
              <w:right w:val="nil"/>
            </w:tcBorders>
            <w:shd w:val="clear" w:color="auto" w:fill="auto"/>
            <w:noWrap/>
            <w:hideMark/>
          </w:tcPr>
          <w:p w:rsidR="00BC2AB8" w:rsidRPr="004B18DA" w:rsidRDefault="00BC2AB8" w:rsidP="002656B0">
            <w:pPr>
              <w:spacing w:after="0" w:line="240" w:lineRule="auto"/>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0.41565471</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Rate: Total loans</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0.99</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0.91</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0.99</w:t>
            </w:r>
          </w:p>
        </w:tc>
        <w:tc>
          <w:tcPr>
            <w:tcW w:w="1084" w:type="dxa"/>
            <w:tcBorders>
              <w:top w:val="single" w:sz="4" w:space="0" w:color="auto"/>
              <w:left w:val="single" w:sz="4" w:space="0" w:color="auto"/>
              <w:bottom w:val="single" w:sz="4" w:space="0" w:color="auto"/>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1.10</w:t>
            </w:r>
          </w:p>
        </w:tc>
        <w:tc>
          <w:tcPr>
            <w:tcW w:w="4606" w:type="dxa"/>
            <w:tcBorders>
              <w:top w:val="single" w:sz="4" w:space="0" w:color="auto"/>
              <w:left w:val="single" w:sz="4" w:space="0" w:color="auto"/>
              <w:bottom w:val="single" w:sz="4" w:space="0" w:color="auto"/>
              <w:right w:val="nil"/>
            </w:tcBorders>
            <w:shd w:val="clear" w:color="auto" w:fill="auto"/>
            <w:noWrap/>
            <w:hideMark/>
          </w:tcPr>
          <w:p w:rsidR="00BC2AB8" w:rsidRPr="004B18DA" w:rsidRDefault="00BC2AB8" w:rsidP="002656B0">
            <w:pPr>
              <w:spacing w:after="0" w:line="240" w:lineRule="auto"/>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1.13</w:t>
            </w:r>
          </w:p>
        </w:tc>
      </w:tr>
      <w:tr w:rsidR="00572B75" w:rsidRPr="004B18DA" w:rsidTr="00572B75">
        <w:trPr>
          <w:trHeight w:val="315"/>
        </w:trPr>
        <w:tc>
          <w:tcPr>
            <w:tcW w:w="3686" w:type="dxa"/>
            <w:tcBorders>
              <w:top w:val="single" w:sz="4" w:space="0" w:color="auto"/>
              <w:left w:val="single" w:sz="4" w:space="0" w:color="auto"/>
              <w:bottom w:val="nil"/>
              <w:right w:val="single" w:sz="4" w:space="0" w:color="auto"/>
            </w:tcBorders>
            <w:shd w:val="clear" w:color="auto" w:fill="auto"/>
            <w:noWrap/>
            <w:vAlign w:val="center"/>
            <w:hideMark/>
          </w:tcPr>
          <w:p w:rsidR="00BC2AB8" w:rsidRPr="004B18DA" w:rsidRDefault="00804206"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Investment</w:t>
            </w:r>
            <w:r w:rsidR="00BC2AB8" w:rsidRPr="004B18DA">
              <w:rPr>
                <w:rFonts w:ascii="Times New Roman" w:eastAsia="Times New Roman" w:hAnsi="Times New Roman" w:cs="Times New Roman"/>
                <w:color w:val="000000"/>
                <w:sz w:val="24"/>
                <w:szCs w:val="24"/>
              </w:rPr>
              <w:t xml:space="preserve"> securities/ TA</w:t>
            </w:r>
          </w:p>
        </w:tc>
        <w:tc>
          <w:tcPr>
            <w:tcW w:w="1493" w:type="dxa"/>
            <w:tcBorders>
              <w:top w:val="single" w:sz="4" w:space="0" w:color="auto"/>
              <w:left w:val="single" w:sz="4" w:space="0" w:color="auto"/>
              <w:bottom w:val="nil"/>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0.360319853</w:t>
            </w:r>
          </w:p>
        </w:tc>
        <w:tc>
          <w:tcPr>
            <w:tcW w:w="1476" w:type="dxa"/>
            <w:tcBorders>
              <w:top w:val="single" w:sz="4" w:space="0" w:color="auto"/>
              <w:left w:val="single" w:sz="4" w:space="0" w:color="auto"/>
              <w:bottom w:val="nil"/>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0.22171425</w:t>
            </w:r>
          </w:p>
        </w:tc>
        <w:tc>
          <w:tcPr>
            <w:tcW w:w="1476" w:type="dxa"/>
            <w:tcBorders>
              <w:top w:val="single" w:sz="4" w:space="0" w:color="auto"/>
              <w:left w:val="single" w:sz="4" w:space="0" w:color="auto"/>
              <w:bottom w:val="nil"/>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0.141049712</w:t>
            </w:r>
          </w:p>
        </w:tc>
        <w:tc>
          <w:tcPr>
            <w:tcW w:w="1084" w:type="dxa"/>
            <w:tcBorders>
              <w:top w:val="single" w:sz="4" w:space="0" w:color="auto"/>
              <w:left w:val="single" w:sz="4" w:space="0" w:color="auto"/>
              <w:bottom w:val="nil"/>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0.22985948</w:t>
            </w:r>
          </w:p>
        </w:tc>
        <w:tc>
          <w:tcPr>
            <w:tcW w:w="4606" w:type="dxa"/>
            <w:tcBorders>
              <w:top w:val="nil"/>
              <w:left w:val="single" w:sz="4" w:space="0" w:color="auto"/>
              <w:bottom w:val="nil"/>
              <w:right w:val="nil"/>
            </w:tcBorders>
            <w:shd w:val="clear" w:color="auto" w:fill="auto"/>
            <w:noWrap/>
            <w:hideMark/>
          </w:tcPr>
          <w:p w:rsidR="00BC2AB8" w:rsidRPr="004B18DA" w:rsidRDefault="00BC2AB8" w:rsidP="002656B0">
            <w:pPr>
              <w:spacing w:after="0" w:line="240" w:lineRule="auto"/>
              <w:rPr>
                <w:rFonts w:ascii="Times New Roman" w:eastAsia="Times New Roman" w:hAnsi="Times New Roman" w:cs="Times New Roman"/>
                <w:color w:val="000000"/>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Rate: Investment securities</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2E7A" w:rsidRPr="004B18DA" w:rsidRDefault="00FB2E7A" w:rsidP="00FB2E7A">
            <w:pPr>
              <w:jc w:val="center"/>
              <w:rPr>
                <w:rFonts w:ascii="Times New Roman" w:hAnsi="Times New Roman" w:cs="Times New Roman"/>
                <w:sz w:val="24"/>
                <w:szCs w:val="24"/>
              </w:rPr>
            </w:pPr>
            <w:r w:rsidRPr="004B18DA">
              <w:rPr>
                <w:rFonts w:ascii="Times New Roman" w:hAnsi="Times New Roman" w:cs="Times New Roman"/>
                <w:sz w:val="24"/>
                <w:szCs w:val="24"/>
              </w:rPr>
              <w:t>1.81</w:t>
            </w:r>
          </w:p>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2E7A" w:rsidRPr="004B18DA" w:rsidRDefault="00FB2E7A" w:rsidP="00FB2E7A">
            <w:pPr>
              <w:jc w:val="center"/>
              <w:rPr>
                <w:rFonts w:ascii="Times New Roman" w:hAnsi="Times New Roman" w:cs="Times New Roman"/>
                <w:sz w:val="24"/>
                <w:szCs w:val="24"/>
              </w:rPr>
            </w:pPr>
            <w:r w:rsidRPr="004B18DA">
              <w:rPr>
                <w:rFonts w:ascii="Times New Roman" w:hAnsi="Times New Roman" w:cs="Times New Roman"/>
                <w:sz w:val="24"/>
                <w:szCs w:val="24"/>
              </w:rPr>
              <w:t>2.27</w:t>
            </w:r>
          </w:p>
          <w:p w:rsidR="00BC2AB8" w:rsidRPr="004B18DA" w:rsidRDefault="00BC2AB8" w:rsidP="00BC2AB8">
            <w:pPr>
              <w:spacing w:after="0" w:line="240" w:lineRule="auto"/>
              <w:jc w:val="center"/>
              <w:rPr>
                <w:rFonts w:ascii="Times New Roman" w:eastAsia="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2E7A" w:rsidRPr="004B18DA" w:rsidRDefault="00FB2E7A" w:rsidP="00FB2E7A">
            <w:pPr>
              <w:jc w:val="center"/>
              <w:rPr>
                <w:rFonts w:ascii="Times New Roman" w:hAnsi="Times New Roman" w:cs="Times New Roman"/>
                <w:sz w:val="24"/>
                <w:szCs w:val="24"/>
              </w:rPr>
            </w:pPr>
            <w:r w:rsidRPr="004B18DA">
              <w:rPr>
                <w:rFonts w:ascii="Times New Roman" w:hAnsi="Times New Roman" w:cs="Times New Roman"/>
                <w:sz w:val="24"/>
                <w:szCs w:val="24"/>
              </w:rPr>
              <w:t>1.89</w:t>
            </w:r>
          </w:p>
          <w:p w:rsidR="00BC2AB8" w:rsidRPr="004B18DA" w:rsidRDefault="00BC2AB8" w:rsidP="00BC2AB8">
            <w:pPr>
              <w:spacing w:after="0" w:line="240" w:lineRule="auto"/>
              <w:jc w:val="center"/>
              <w:rPr>
                <w:rFonts w:ascii="Times New Roman" w:eastAsia="Times New Roman" w:hAnsi="Times New Roman" w:cs="Times New Roman"/>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BC2AB8" w:rsidRPr="004B18DA" w:rsidRDefault="00BC2AB8" w:rsidP="002656B0">
            <w:pPr>
              <w:spacing w:after="0" w:line="240" w:lineRule="auto"/>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nil"/>
              <w:right w:val="single" w:sz="4" w:space="0" w:color="auto"/>
            </w:tcBorders>
            <w:shd w:val="clear" w:color="auto" w:fill="auto"/>
            <w:noWrap/>
            <w:vAlign w:val="center"/>
            <w:hideMark/>
          </w:tcPr>
          <w:p w:rsidR="00BC2AB8" w:rsidRPr="004B18DA" w:rsidRDefault="00BC2AB8" w:rsidP="00BC2AB8">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Noninterest income/ TA</w:t>
            </w:r>
          </w:p>
        </w:tc>
        <w:tc>
          <w:tcPr>
            <w:tcW w:w="1493" w:type="dxa"/>
            <w:tcBorders>
              <w:top w:val="single" w:sz="4" w:space="0" w:color="auto"/>
              <w:left w:val="single" w:sz="4" w:space="0" w:color="auto"/>
              <w:bottom w:val="nil"/>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0.021449032</w:t>
            </w:r>
          </w:p>
        </w:tc>
        <w:tc>
          <w:tcPr>
            <w:tcW w:w="1476" w:type="dxa"/>
            <w:tcBorders>
              <w:top w:val="single" w:sz="4" w:space="0" w:color="auto"/>
              <w:left w:val="single" w:sz="4" w:space="0" w:color="auto"/>
              <w:bottom w:val="nil"/>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0.01932364</w:t>
            </w:r>
          </w:p>
        </w:tc>
        <w:tc>
          <w:tcPr>
            <w:tcW w:w="1476" w:type="dxa"/>
            <w:tcBorders>
              <w:top w:val="single" w:sz="4" w:space="0" w:color="auto"/>
              <w:left w:val="single" w:sz="4" w:space="0" w:color="auto"/>
              <w:bottom w:val="nil"/>
              <w:right w:val="single" w:sz="4" w:space="0" w:color="auto"/>
            </w:tcBorders>
            <w:shd w:val="clear" w:color="auto" w:fill="auto"/>
            <w:noWrap/>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0.013488986</w:t>
            </w:r>
          </w:p>
        </w:tc>
        <w:tc>
          <w:tcPr>
            <w:tcW w:w="1084" w:type="dxa"/>
            <w:tcBorders>
              <w:top w:val="single" w:sz="4" w:space="0" w:color="auto"/>
              <w:left w:val="single" w:sz="4" w:space="0" w:color="auto"/>
              <w:bottom w:val="nil"/>
              <w:right w:val="single" w:sz="4" w:space="0" w:color="auto"/>
            </w:tcBorders>
            <w:shd w:val="clear" w:color="auto" w:fill="auto"/>
            <w:noWrap/>
            <w:vAlign w:val="center"/>
            <w:hideMark/>
          </w:tcPr>
          <w:p w:rsidR="00BC2AB8" w:rsidRPr="004B18DA" w:rsidRDefault="00BC2AB8" w:rsidP="00BC2AB8">
            <w:pPr>
              <w:spacing w:after="0" w:line="240" w:lineRule="auto"/>
              <w:jc w:val="right"/>
              <w:rPr>
                <w:rFonts w:ascii="Times New Roman" w:eastAsia="Times New Roman" w:hAnsi="Times New Roman" w:cs="Times New Roman"/>
                <w:color w:val="000000"/>
                <w:sz w:val="24"/>
                <w:szCs w:val="24"/>
              </w:rPr>
            </w:pPr>
          </w:p>
        </w:tc>
        <w:tc>
          <w:tcPr>
            <w:tcW w:w="4606" w:type="dxa"/>
            <w:tcBorders>
              <w:top w:val="single" w:sz="4" w:space="0" w:color="auto"/>
              <w:left w:val="single" w:sz="4" w:space="0" w:color="auto"/>
              <w:bottom w:val="nil"/>
              <w:right w:val="nil"/>
            </w:tcBorders>
            <w:shd w:val="clear" w:color="auto" w:fill="auto"/>
            <w:noWrap/>
            <w:vAlign w:val="center"/>
            <w:hideMark/>
          </w:tcPr>
          <w:p w:rsidR="00BC2AB8" w:rsidRPr="004B18DA" w:rsidRDefault="00BC2AB8" w:rsidP="002656B0">
            <w:pPr>
              <w:spacing w:after="0" w:line="240" w:lineRule="auto"/>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Securities gains and losses/ TA</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0.360319853</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0.43735583</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0.43735583</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247052" w:rsidRPr="004B18DA" w:rsidRDefault="00247052" w:rsidP="00247052">
            <w:pPr>
              <w:spacing w:after="0" w:line="240" w:lineRule="auto"/>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Net Interest margin</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2.67</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3.51</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3.57</w:t>
            </w:r>
          </w:p>
        </w:tc>
        <w:tc>
          <w:tcPr>
            <w:tcW w:w="1084"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3.05</w:t>
            </w:r>
          </w:p>
        </w:tc>
        <w:tc>
          <w:tcPr>
            <w:tcW w:w="4606" w:type="dxa"/>
            <w:tcBorders>
              <w:top w:val="single" w:sz="4" w:space="0" w:color="auto"/>
              <w:left w:val="single" w:sz="4" w:space="0" w:color="auto"/>
              <w:bottom w:val="single" w:sz="4" w:space="0" w:color="auto"/>
              <w:right w:val="nil"/>
            </w:tcBorders>
            <w:shd w:val="clear" w:color="auto" w:fill="auto"/>
            <w:noWrap/>
            <w:hideMark/>
          </w:tcPr>
          <w:p w:rsidR="00247052" w:rsidRPr="004B18DA" w:rsidRDefault="00247052" w:rsidP="00247052">
            <w:pPr>
              <w:spacing w:after="0" w:line="240" w:lineRule="auto"/>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2.72</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ER (Expense)</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0.023720733</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0.02533176</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0.02151391</w:t>
            </w:r>
          </w:p>
        </w:tc>
        <w:tc>
          <w:tcPr>
            <w:tcW w:w="1084"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0.02088982</w:t>
            </w:r>
          </w:p>
        </w:tc>
        <w:tc>
          <w:tcPr>
            <w:tcW w:w="4606" w:type="dxa"/>
            <w:tcBorders>
              <w:top w:val="single" w:sz="4" w:space="0" w:color="auto"/>
              <w:left w:val="single" w:sz="4" w:space="0" w:color="auto"/>
              <w:bottom w:val="single" w:sz="4" w:space="0" w:color="auto"/>
              <w:right w:val="nil"/>
            </w:tcBorders>
            <w:shd w:val="clear" w:color="auto" w:fill="auto"/>
            <w:noWrap/>
            <w:hideMark/>
          </w:tcPr>
          <w:p w:rsidR="00247052" w:rsidRPr="004B18DA" w:rsidRDefault="00247052" w:rsidP="00247052">
            <w:pPr>
              <w:spacing w:after="0" w:line="240" w:lineRule="auto"/>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0.01954642</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Interest expense/ TA</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0.021449032</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0.01932364</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0.013488986</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247052" w:rsidRPr="004B18DA" w:rsidRDefault="00247052" w:rsidP="00247052">
            <w:pPr>
              <w:spacing w:after="0" w:line="240" w:lineRule="auto"/>
              <w:rPr>
                <w:rFonts w:ascii="Times New Roman" w:eastAsia="Times New Roman" w:hAnsi="Times New Roman" w:cs="Times New Roman"/>
                <w:sz w:val="24"/>
                <w:szCs w:val="24"/>
              </w:rPr>
            </w:pPr>
          </w:p>
        </w:tc>
      </w:tr>
      <w:tr w:rsidR="00572B75" w:rsidRPr="004B18DA" w:rsidTr="00572B75">
        <w:trPr>
          <w:trHeight w:val="438"/>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Cost of interest bearing f</w:t>
            </w:r>
            <w:r w:rsidR="00B63E15">
              <w:rPr>
                <w:rFonts w:ascii="Times New Roman" w:eastAsia="Times New Roman" w:hAnsi="Times New Roman" w:cs="Times New Roman"/>
                <w:color w:val="000000"/>
                <w:sz w:val="24"/>
                <w:szCs w:val="24"/>
              </w:rPr>
              <w:t>u</w:t>
            </w:r>
            <w:r w:rsidRPr="004B18DA">
              <w:rPr>
                <w:rFonts w:ascii="Times New Roman" w:eastAsia="Times New Roman" w:hAnsi="Times New Roman" w:cs="Times New Roman"/>
                <w:color w:val="000000"/>
                <w:sz w:val="24"/>
                <w:szCs w:val="24"/>
              </w:rPr>
              <w:t>nds</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85,326</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212,807</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75,921</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247052" w:rsidRPr="004B18DA" w:rsidRDefault="00247052" w:rsidP="00247052">
            <w:pPr>
              <w:spacing w:after="0" w:line="240" w:lineRule="auto"/>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Demand deposit/ TA</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0.585052703</w:t>
            </w:r>
          </w:p>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0.613549595</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rPr>
                <w:rFonts w:ascii="Times New Roman" w:hAnsi="Times New Roman" w:cs="Times New Roman"/>
                <w:sz w:val="24"/>
                <w:szCs w:val="24"/>
              </w:rPr>
            </w:pPr>
            <w:r w:rsidRPr="004B18DA">
              <w:rPr>
                <w:rFonts w:ascii="Times New Roman" w:hAnsi="Times New Roman" w:cs="Times New Roman"/>
                <w:sz w:val="24"/>
                <w:szCs w:val="24"/>
              </w:rPr>
              <w:t>0.717613481</w:t>
            </w:r>
          </w:p>
          <w:p w:rsidR="00247052" w:rsidRPr="004B18DA" w:rsidRDefault="00247052" w:rsidP="00247052">
            <w:pPr>
              <w:spacing w:after="0" w:line="240" w:lineRule="auto"/>
              <w:rPr>
                <w:rFonts w:ascii="Times New Roman" w:eastAsia="Times New Roman" w:hAnsi="Times New Roman" w:cs="Times New Roman"/>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rPr>
                <w:rFonts w:ascii="Times New Roman" w:eastAsia="Times New Roman" w:hAnsi="Times New Roman" w:cs="Times New Roman"/>
                <w:sz w:val="24"/>
                <w:szCs w:val="24"/>
              </w:rPr>
            </w:pPr>
          </w:p>
        </w:tc>
        <w:tc>
          <w:tcPr>
            <w:tcW w:w="4606" w:type="dxa"/>
            <w:tcBorders>
              <w:top w:val="single" w:sz="4" w:space="0" w:color="auto"/>
              <w:left w:val="single" w:sz="4" w:space="0" w:color="auto"/>
              <w:bottom w:val="single" w:sz="4" w:space="0" w:color="auto"/>
              <w:right w:val="nil"/>
            </w:tcBorders>
            <w:shd w:val="clear" w:color="auto" w:fill="auto"/>
            <w:noWrap/>
            <w:hideMark/>
          </w:tcPr>
          <w:p w:rsidR="00247052" w:rsidRPr="004B18DA" w:rsidRDefault="00247052" w:rsidP="00247052">
            <w:pPr>
              <w:spacing w:after="0" w:line="240" w:lineRule="auto"/>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Interest-bearing debt/ TA</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0.00983345</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0.00550511</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0.012610481</w:t>
            </w:r>
          </w:p>
        </w:tc>
        <w:tc>
          <w:tcPr>
            <w:tcW w:w="1084"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0.01437553</w:t>
            </w:r>
          </w:p>
        </w:tc>
        <w:tc>
          <w:tcPr>
            <w:tcW w:w="4606" w:type="dxa"/>
            <w:tcBorders>
              <w:top w:val="single" w:sz="4" w:space="0" w:color="auto"/>
              <w:left w:val="single" w:sz="4" w:space="0" w:color="auto"/>
              <w:bottom w:val="single" w:sz="4" w:space="0" w:color="auto"/>
              <w:right w:val="nil"/>
            </w:tcBorders>
            <w:shd w:val="clear" w:color="auto" w:fill="auto"/>
            <w:noWrap/>
            <w:hideMark/>
          </w:tcPr>
          <w:p w:rsidR="00247052" w:rsidRPr="004B18DA" w:rsidRDefault="00247052" w:rsidP="00247052">
            <w:pPr>
              <w:spacing w:after="0" w:line="240" w:lineRule="auto"/>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0.01808934</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Noninterest expense/TA</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0.023720733</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0.02533176</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0.02151391</w:t>
            </w:r>
          </w:p>
        </w:tc>
        <w:tc>
          <w:tcPr>
            <w:tcW w:w="1084"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0.02088982</w:t>
            </w:r>
          </w:p>
        </w:tc>
        <w:tc>
          <w:tcPr>
            <w:tcW w:w="4606" w:type="dxa"/>
            <w:tcBorders>
              <w:top w:val="single" w:sz="4" w:space="0" w:color="auto"/>
              <w:left w:val="single" w:sz="4" w:space="0" w:color="auto"/>
              <w:bottom w:val="single" w:sz="4" w:space="0" w:color="auto"/>
              <w:right w:val="nil"/>
            </w:tcBorders>
            <w:shd w:val="clear" w:color="auto" w:fill="auto"/>
            <w:noWrap/>
            <w:hideMark/>
          </w:tcPr>
          <w:p w:rsidR="00247052" w:rsidRPr="004B18DA" w:rsidRDefault="00247052" w:rsidP="00247052">
            <w:pPr>
              <w:spacing w:after="0" w:line="240" w:lineRule="auto"/>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0.01954642</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PLL/TA</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0.001070309</w:t>
            </w:r>
          </w:p>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0.001054671</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247052" w:rsidRPr="004B18DA" w:rsidRDefault="00247052" w:rsidP="00247052">
            <w:pPr>
              <w:spacing w:after="0" w:line="240" w:lineRule="auto"/>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676CE0"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Efficiency r</w:t>
            </w:r>
            <w:r w:rsidR="00247052" w:rsidRPr="004B18DA">
              <w:rPr>
                <w:rFonts w:ascii="Times New Roman" w:eastAsia="Times New Roman" w:hAnsi="Times New Roman" w:cs="Times New Roman"/>
                <w:color w:val="000000"/>
                <w:sz w:val="24"/>
                <w:szCs w:val="24"/>
              </w:rPr>
              <w:t>atio</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1.708371355</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1.40850028</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1.220111107</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247052" w:rsidRPr="004B18DA" w:rsidRDefault="00247052" w:rsidP="00247052">
            <w:pPr>
              <w:spacing w:after="0" w:line="240" w:lineRule="auto"/>
              <w:rPr>
                <w:rFonts w:ascii="Times New Roman" w:eastAsia="Times New Roman" w:hAnsi="Times New Roman" w:cs="Times New Roman"/>
                <w:sz w:val="24"/>
                <w:szCs w:val="24"/>
              </w:rPr>
            </w:pPr>
          </w:p>
        </w:tc>
      </w:tr>
      <w:tr w:rsidR="00E62892"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2892" w:rsidRPr="00E62892" w:rsidRDefault="00E62892" w:rsidP="00247052">
            <w:pPr>
              <w:spacing w:after="0" w:line="240" w:lineRule="auto"/>
              <w:jc w:val="center"/>
              <w:rPr>
                <w:rFonts w:ascii="Times New Roman" w:eastAsia="Times New Roman" w:hAnsi="Times New Roman" w:cs="Times New Roman"/>
                <w:b/>
                <w:color w:val="000000"/>
                <w:sz w:val="24"/>
                <w:szCs w:val="24"/>
              </w:rPr>
            </w:pPr>
            <w:r w:rsidRPr="00E62892">
              <w:rPr>
                <w:rFonts w:ascii="Times New Roman" w:eastAsia="Times New Roman" w:hAnsi="Times New Roman" w:cs="Times New Roman"/>
                <w:b/>
                <w:color w:val="000000"/>
                <w:sz w:val="24"/>
                <w:szCs w:val="24"/>
              </w:rPr>
              <w:t>Risk ratios</w:t>
            </w:r>
          </w:p>
        </w:tc>
        <w:tc>
          <w:tcPr>
            <w:tcW w:w="1493" w:type="dxa"/>
            <w:tcBorders>
              <w:top w:val="single" w:sz="4" w:space="0" w:color="auto"/>
              <w:left w:val="single" w:sz="4" w:space="0" w:color="auto"/>
              <w:bottom w:val="single" w:sz="4" w:space="0" w:color="auto"/>
              <w:right w:val="single" w:sz="4" w:space="0" w:color="auto"/>
            </w:tcBorders>
            <w:shd w:val="clear" w:color="auto" w:fill="auto"/>
            <w:noWrap/>
          </w:tcPr>
          <w:p w:rsidR="00E62892" w:rsidRPr="004B18DA" w:rsidRDefault="00E62892" w:rsidP="00247052">
            <w:pPr>
              <w:spacing w:after="0" w:line="240" w:lineRule="auto"/>
              <w:jc w:val="right"/>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tcPr>
          <w:p w:rsidR="00E62892" w:rsidRPr="004B18DA" w:rsidRDefault="00E62892" w:rsidP="00247052">
            <w:pPr>
              <w:spacing w:after="0" w:line="240" w:lineRule="auto"/>
              <w:jc w:val="right"/>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tcPr>
          <w:p w:rsidR="00E62892" w:rsidRPr="004B18DA" w:rsidRDefault="00E62892" w:rsidP="00247052">
            <w:pPr>
              <w:spacing w:after="0" w:line="240" w:lineRule="auto"/>
              <w:jc w:val="right"/>
              <w:rPr>
                <w:rFonts w:ascii="Times New Roman" w:eastAsia="Times New Roman" w:hAnsi="Times New Roman" w:cs="Times New Roman"/>
                <w:color w:val="000000"/>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2892" w:rsidRPr="004B18DA" w:rsidRDefault="00E62892" w:rsidP="00247052">
            <w:pPr>
              <w:spacing w:after="0" w:line="240" w:lineRule="auto"/>
              <w:jc w:val="right"/>
              <w:rPr>
                <w:rFonts w:ascii="Times New Roman" w:eastAsia="Times New Roman" w:hAnsi="Times New Roman" w:cs="Times New Roman"/>
                <w:color w:val="000000"/>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tcPr>
          <w:p w:rsidR="00E62892" w:rsidRPr="004B18DA" w:rsidRDefault="00E62892" w:rsidP="00247052">
            <w:pPr>
              <w:spacing w:after="0" w:line="240" w:lineRule="auto"/>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Charge offs/ total loans</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0.20</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0.24</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0.22</w:t>
            </w:r>
          </w:p>
        </w:tc>
        <w:tc>
          <w:tcPr>
            <w:tcW w:w="1084"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0.27</w:t>
            </w:r>
          </w:p>
        </w:tc>
        <w:tc>
          <w:tcPr>
            <w:tcW w:w="4606" w:type="dxa"/>
            <w:tcBorders>
              <w:top w:val="single" w:sz="4" w:space="0" w:color="auto"/>
              <w:left w:val="single" w:sz="4" w:space="0" w:color="auto"/>
              <w:bottom w:val="single" w:sz="4" w:space="0" w:color="auto"/>
              <w:right w:val="nil"/>
            </w:tcBorders>
            <w:shd w:val="clear" w:color="auto" w:fill="auto"/>
            <w:noWrap/>
            <w:hideMark/>
          </w:tcPr>
          <w:p w:rsidR="00247052" w:rsidRPr="004B18DA" w:rsidRDefault="00247052" w:rsidP="00247052">
            <w:pPr>
              <w:spacing w:after="0" w:line="240" w:lineRule="auto"/>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0.46</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lastRenderedPageBreak/>
              <w:t>Loan loss allowance/ total loans</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0.99</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0.91</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0.99</w:t>
            </w:r>
          </w:p>
        </w:tc>
        <w:tc>
          <w:tcPr>
            <w:tcW w:w="1084"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1.10</w:t>
            </w:r>
          </w:p>
        </w:tc>
        <w:tc>
          <w:tcPr>
            <w:tcW w:w="4606" w:type="dxa"/>
            <w:tcBorders>
              <w:top w:val="single" w:sz="4" w:space="0" w:color="auto"/>
              <w:left w:val="single" w:sz="4" w:space="0" w:color="auto"/>
              <w:bottom w:val="single" w:sz="4" w:space="0" w:color="auto"/>
              <w:right w:val="nil"/>
            </w:tcBorders>
            <w:shd w:val="clear" w:color="auto" w:fill="auto"/>
            <w:noWrap/>
            <w:hideMark/>
          </w:tcPr>
          <w:p w:rsidR="00247052" w:rsidRPr="004B18DA" w:rsidRDefault="00247052" w:rsidP="00247052">
            <w:pPr>
              <w:spacing w:after="0" w:line="240" w:lineRule="auto"/>
              <w:rPr>
                <w:rFonts w:ascii="Times New Roman" w:eastAsia="Times New Roman" w:hAnsi="Times New Roman" w:cs="Times New Roman"/>
                <w:sz w:val="24"/>
                <w:szCs w:val="24"/>
              </w:rPr>
            </w:pPr>
            <w:r w:rsidRPr="004B18DA">
              <w:rPr>
                <w:rFonts w:ascii="Times New Roman" w:eastAsia="Times New Roman" w:hAnsi="Times New Roman" w:cs="Times New Roman"/>
                <w:sz w:val="24"/>
                <w:szCs w:val="24"/>
              </w:rPr>
              <w:t>1.13</w:t>
            </w: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Core deposits/ total assets</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0.874390714</w:t>
            </w:r>
          </w:p>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0.870993993</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0.8704719</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247052" w:rsidRPr="004B18DA" w:rsidRDefault="00247052" w:rsidP="00247052">
            <w:pPr>
              <w:spacing w:after="0" w:line="240" w:lineRule="auto"/>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Short-term investments/ total assets</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0.142808219</w:t>
            </w:r>
          </w:p>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0.0938458</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0.0510761</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247052" w:rsidRPr="004B18DA" w:rsidRDefault="00247052" w:rsidP="00247052">
            <w:pPr>
              <w:spacing w:after="0" w:line="240" w:lineRule="auto"/>
              <w:rPr>
                <w:rFonts w:ascii="Times New Roman" w:eastAsia="Times New Roman" w:hAnsi="Times New Roman" w:cs="Times New Roman"/>
                <w:sz w:val="24"/>
                <w:szCs w:val="24"/>
              </w:rPr>
            </w:pPr>
          </w:p>
        </w:tc>
      </w:tr>
      <w:tr w:rsidR="00572B75" w:rsidRPr="004B18DA" w:rsidTr="00572B75">
        <w:trPr>
          <w:trHeight w:val="34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Total Loans/ Total deposits</w:t>
            </w:r>
          </w:p>
        </w:tc>
        <w:tc>
          <w:tcPr>
            <w:tcW w:w="1493"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0.391144439</w:t>
            </w:r>
          </w:p>
        </w:tc>
        <w:tc>
          <w:tcPr>
            <w:tcW w:w="1476" w:type="dxa"/>
            <w:tcBorders>
              <w:top w:val="single" w:sz="4" w:space="0" w:color="auto"/>
              <w:left w:val="single" w:sz="4" w:space="0" w:color="auto"/>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0.46707529</w:t>
            </w:r>
          </w:p>
        </w:tc>
        <w:tc>
          <w:tcPr>
            <w:tcW w:w="1476" w:type="dxa"/>
            <w:tcBorders>
              <w:top w:val="single" w:sz="4" w:space="0" w:color="auto"/>
              <w:left w:val="single" w:sz="4" w:space="0" w:color="auto"/>
              <w:bottom w:val="single" w:sz="4" w:space="0" w:color="auto"/>
              <w:right w:val="nil"/>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0.49779178</w:t>
            </w:r>
          </w:p>
        </w:tc>
        <w:tc>
          <w:tcPr>
            <w:tcW w:w="1084" w:type="dxa"/>
            <w:tcBorders>
              <w:top w:val="single" w:sz="4" w:space="0" w:color="auto"/>
              <w:left w:val="nil"/>
              <w:bottom w:val="single" w:sz="4" w:space="0" w:color="auto"/>
              <w:right w:val="single" w:sz="4" w:space="0" w:color="auto"/>
            </w:tcBorders>
            <w:shd w:val="clear" w:color="auto" w:fill="auto"/>
            <w:noWrap/>
            <w:hideMark/>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0.45116775</w:t>
            </w:r>
          </w:p>
        </w:tc>
        <w:tc>
          <w:tcPr>
            <w:tcW w:w="4606" w:type="dxa"/>
            <w:tcBorders>
              <w:top w:val="single" w:sz="4" w:space="0" w:color="auto"/>
              <w:left w:val="single" w:sz="4" w:space="0" w:color="auto"/>
              <w:bottom w:val="single" w:sz="4" w:space="0" w:color="auto"/>
              <w:right w:val="nil"/>
            </w:tcBorders>
            <w:shd w:val="clear" w:color="auto" w:fill="auto"/>
            <w:noWrap/>
            <w:hideMark/>
          </w:tcPr>
          <w:p w:rsidR="00247052" w:rsidRPr="004B18DA" w:rsidRDefault="00247052" w:rsidP="00247052">
            <w:pPr>
              <w:spacing w:after="0" w:line="240" w:lineRule="auto"/>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0.4453517</w:t>
            </w:r>
          </w:p>
        </w:tc>
      </w:tr>
      <w:tr w:rsidR="00572B75" w:rsidRPr="004B18DA" w:rsidTr="00572B75">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p>
        </w:tc>
        <w:tc>
          <w:tcPr>
            <w:tcW w:w="1493" w:type="dxa"/>
            <w:tcBorders>
              <w:top w:val="single" w:sz="4" w:space="0" w:color="auto"/>
              <w:left w:val="single" w:sz="4" w:space="0" w:color="auto"/>
              <w:bottom w:val="single" w:sz="4" w:space="0" w:color="auto"/>
              <w:right w:val="single" w:sz="4" w:space="0" w:color="auto"/>
            </w:tcBorders>
            <w:shd w:val="clear" w:color="auto" w:fill="auto"/>
            <w:noWrap/>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p>
        </w:tc>
        <w:tc>
          <w:tcPr>
            <w:tcW w:w="4606" w:type="dxa"/>
            <w:tcBorders>
              <w:top w:val="single" w:sz="4" w:space="0" w:color="auto"/>
              <w:left w:val="single" w:sz="4" w:space="0" w:color="auto"/>
              <w:bottom w:val="single" w:sz="4" w:space="0" w:color="auto"/>
              <w:right w:val="nil"/>
            </w:tcBorders>
            <w:shd w:val="clear" w:color="auto" w:fill="auto"/>
            <w:noWrap/>
          </w:tcPr>
          <w:p w:rsidR="00247052" w:rsidRPr="004B18DA" w:rsidRDefault="00247052" w:rsidP="00247052">
            <w:pPr>
              <w:spacing w:after="0" w:line="240" w:lineRule="auto"/>
              <w:jc w:val="right"/>
              <w:rPr>
                <w:rFonts w:ascii="Times New Roman" w:eastAsia="Times New Roman" w:hAnsi="Times New Roman" w:cs="Times New Roman"/>
                <w:color w:val="000000"/>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Total Capital/ Total Assets</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3448" w:rsidRPr="004B18DA" w:rsidRDefault="00763448" w:rsidP="00763448">
            <w:pPr>
              <w:jc w:val="center"/>
              <w:rPr>
                <w:rFonts w:ascii="Times New Roman" w:hAnsi="Times New Roman" w:cs="Times New Roman"/>
                <w:sz w:val="24"/>
                <w:szCs w:val="24"/>
              </w:rPr>
            </w:pPr>
            <w:r w:rsidRPr="004B18DA">
              <w:rPr>
                <w:rFonts w:ascii="Times New Roman" w:hAnsi="Times New Roman" w:cs="Times New Roman"/>
                <w:sz w:val="24"/>
                <w:szCs w:val="24"/>
              </w:rPr>
              <w:t>0.092351449</w:t>
            </w:r>
          </w:p>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3448" w:rsidRPr="004B18DA" w:rsidRDefault="00763448" w:rsidP="00763448">
            <w:pPr>
              <w:jc w:val="center"/>
              <w:rPr>
                <w:rFonts w:ascii="Times New Roman" w:hAnsi="Times New Roman" w:cs="Times New Roman"/>
                <w:sz w:val="24"/>
                <w:szCs w:val="24"/>
              </w:rPr>
            </w:pPr>
            <w:r w:rsidRPr="004B18DA">
              <w:rPr>
                <w:rFonts w:ascii="Times New Roman" w:hAnsi="Times New Roman" w:cs="Times New Roman"/>
                <w:sz w:val="24"/>
                <w:szCs w:val="24"/>
              </w:rPr>
              <w:t>0.095275474</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3448" w:rsidRPr="004B18DA" w:rsidRDefault="00763448" w:rsidP="00763448">
            <w:pPr>
              <w:jc w:val="center"/>
              <w:rPr>
                <w:rFonts w:ascii="Times New Roman" w:hAnsi="Times New Roman" w:cs="Times New Roman"/>
                <w:sz w:val="24"/>
                <w:szCs w:val="24"/>
              </w:rPr>
            </w:pPr>
            <w:r w:rsidRPr="004B18DA">
              <w:rPr>
                <w:rFonts w:ascii="Times New Roman" w:hAnsi="Times New Roman" w:cs="Times New Roman"/>
                <w:sz w:val="24"/>
                <w:szCs w:val="24"/>
              </w:rPr>
              <w:t>0.098333776</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3448" w:rsidRPr="004B18DA" w:rsidRDefault="00763448" w:rsidP="00763448">
            <w:pPr>
              <w:jc w:val="center"/>
              <w:rPr>
                <w:rFonts w:ascii="Times New Roman" w:hAnsi="Times New Roman" w:cs="Times New Roman"/>
                <w:sz w:val="24"/>
                <w:szCs w:val="24"/>
              </w:rPr>
            </w:pPr>
            <w:r w:rsidRPr="004B18DA">
              <w:rPr>
                <w:rFonts w:ascii="Times New Roman" w:hAnsi="Times New Roman" w:cs="Times New Roman"/>
                <w:sz w:val="24"/>
                <w:szCs w:val="24"/>
              </w:rPr>
              <w:t>0.096256114</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763448" w:rsidRPr="004B18DA" w:rsidRDefault="00763448" w:rsidP="00763448">
            <w:pPr>
              <w:jc w:val="center"/>
              <w:rPr>
                <w:rFonts w:ascii="Times New Roman" w:hAnsi="Times New Roman" w:cs="Times New Roman"/>
                <w:sz w:val="24"/>
                <w:szCs w:val="24"/>
              </w:rPr>
            </w:pPr>
            <w:r w:rsidRPr="004B18DA">
              <w:rPr>
                <w:rFonts w:ascii="Times New Roman" w:hAnsi="Times New Roman" w:cs="Times New Roman"/>
                <w:sz w:val="24"/>
                <w:szCs w:val="24"/>
              </w:rPr>
              <w:t>0.09787405</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r>
      <w:tr w:rsidR="00572B75" w:rsidRPr="004B18DA" w:rsidTr="00572B75">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tcPr>
          <w:p w:rsidR="00247052" w:rsidRPr="004B18DA" w:rsidRDefault="00247052" w:rsidP="00247052">
            <w:pPr>
              <w:spacing w:after="0" w:line="240" w:lineRule="auto"/>
              <w:jc w:val="center"/>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Growth in equity</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1749393</w:t>
            </w:r>
          </w:p>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1354098</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936414</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537241</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Assets per employee ($millions)</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23430.22454</w:t>
            </w:r>
          </w:p>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14402.61724</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11547.2574</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10388.33002</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247052" w:rsidRPr="004B18DA" w:rsidRDefault="00247052" w:rsidP="00247052">
            <w:pPr>
              <w:rPr>
                <w:rFonts w:ascii="Times New Roman" w:hAnsi="Times New Roman" w:cs="Times New Roman"/>
                <w:sz w:val="24"/>
                <w:szCs w:val="24"/>
              </w:rPr>
            </w:pPr>
            <w:r w:rsidRPr="004B18DA">
              <w:rPr>
                <w:rFonts w:ascii="Times New Roman" w:hAnsi="Times New Roman" w:cs="Times New Roman"/>
                <w:sz w:val="24"/>
                <w:szCs w:val="24"/>
              </w:rPr>
              <w:t>9063.622718</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Loans per employee ($millions)</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9164.602028</w:t>
            </w:r>
          </w:p>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6727.106694</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5748.129817</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sz w:val="24"/>
                <w:szCs w:val="24"/>
              </w:rPr>
            </w:pPr>
            <w:r w:rsidRPr="004B18DA">
              <w:rPr>
                <w:rFonts w:ascii="Times New Roman" w:hAnsi="Times New Roman" w:cs="Times New Roman"/>
                <w:sz w:val="24"/>
                <w:szCs w:val="24"/>
              </w:rPr>
              <w:t>4686.879513</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247052" w:rsidRPr="004B18DA" w:rsidRDefault="00247052" w:rsidP="00247052">
            <w:pPr>
              <w:rPr>
                <w:rFonts w:ascii="Times New Roman" w:hAnsi="Times New Roman" w:cs="Times New Roman"/>
                <w:sz w:val="24"/>
                <w:szCs w:val="24"/>
              </w:rPr>
            </w:pPr>
            <w:r w:rsidRPr="004B18DA">
              <w:rPr>
                <w:rFonts w:ascii="Times New Roman" w:hAnsi="Times New Roman" w:cs="Times New Roman"/>
                <w:sz w:val="24"/>
                <w:szCs w:val="24"/>
              </w:rPr>
              <w:t>4036.499797</w:t>
            </w:r>
          </w:p>
          <w:p w:rsidR="00247052" w:rsidRPr="004B18DA" w:rsidRDefault="00247052" w:rsidP="00247052">
            <w:pPr>
              <w:spacing w:after="0" w:line="240" w:lineRule="auto"/>
              <w:jc w:val="center"/>
              <w:rPr>
                <w:rFonts w:ascii="Times New Roman" w:eastAsia="Times New Roman" w:hAnsi="Times New Roman" w:cs="Times New Roman"/>
                <w:sz w:val="24"/>
                <w:szCs w:val="24"/>
              </w:rPr>
            </w:pPr>
          </w:p>
        </w:tc>
      </w:tr>
      <w:tr w:rsidR="00572B75" w:rsidRPr="004B18DA" w:rsidTr="00572B75">
        <w:trPr>
          <w:trHeight w:val="315"/>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spacing w:after="0" w:line="240" w:lineRule="auto"/>
              <w:jc w:val="center"/>
              <w:rPr>
                <w:rFonts w:ascii="Times New Roman" w:eastAsia="Times New Roman" w:hAnsi="Times New Roman" w:cs="Times New Roman"/>
                <w:color w:val="000000"/>
                <w:sz w:val="24"/>
                <w:szCs w:val="24"/>
              </w:rPr>
            </w:pPr>
            <w:r w:rsidRPr="004B18DA">
              <w:rPr>
                <w:rFonts w:ascii="Times New Roman" w:eastAsia="Times New Roman" w:hAnsi="Times New Roman" w:cs="Times New Roman"/>
                <w:color w:val="000000"/>
                <w:sz w:val="24"/>
                <w:szCs w:val="24"/>
              </w:rPr>
              <w:t>Net income per employee ($000)</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eastAsia="Times New Roman" w:hAnsi="Times New Roman" w:cs="Times New Roman"/>
                <w:color w:val="000000"/>
                <w:sz w:val="24"/>
                <w:szCs w:val="24"/>
              </w:rPr>
            </w:pPr>
            <w:r w:rsidRPr="004B18DA">
              <w:rPr>
                <w:rFonts w:ascii="Times New Roman" w:hAnsi="Times New Roman" w:cs="Times New Roman"/>
                <w:color w:val="000000"/>
                <w:sz w:val="24"/>
                <w:szCs w:val="24"/>
              </w:rPr>
              <w:t>437.3801217</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eastAsia="Times New Roman" w:hAnsi="Times New Roman" w:cs="Times New Roman"/>
                <w:sz w:val="24"/>
                <w:szCs w:val="24"/>
              </w:rPr>
            </w:pPr>
            <w:r w:rsidRPr="004B18DA">
              <w:rPr>
                <w:rFonts w:ascii="Times New Roman" w:hAnsi="Times New Roman" w:cs="Times New Roman"/>
                <w:color w:val="000000"/>
                <w:sz w:val="24"/>
                <w:szCs w:val="24"/>
              </w:rPr>
              <w:t>425.274037</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color w:val="000000"/>
                <w:sz w:val="24"/>
                <w:szCs w:val="24"/>
              </w:rPr>
            </w:pPr>
            <w:r w:rsidRPr="004B18DA">
              <w:rPr>
                <w:rFonts w:ascii="Times New Roman" w:hAnsi="Times New Roman" w:cs="Times New Roman"/>
                <w:color w:val="000000"/>
                <w:sz w:val="24"/>
                <w:szCs w:val="24"/>
              </w:rPr>
              <w:t>384.1760649</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052" w:rsidRPr="004B18DA" w:rsidRDefault="00247052" w:rsidP="00247052">
            <w:pPr>
              <w:jc w:val="center"/>
              <w:rPr>
                <w:rFonts w:ascii="Times New Roman" w:hAnsi="Times New Roman" w:cs="Times New Roman"/>
                <w:color w:val="000000"/>
                <w:sz w:val="24"/>
                <w:szCs w:val="24"/>
              </w:rPr>
            </w:pPr>
            <w:r w:rsidRPr="004B18DA">
              <w:rPr>
                <w:rFonts w:ascii="Times New Roman" w:hAnsi="Times New Roman" w:cs="Times New Roman"/>
                <w:color w:val="000000"/>
                <w:sz w:val="24"/>
                <w:szCs w:val="24"/>
              </w:rPr>
              <w:t>288.107302</w:t>
            </w:r>
          </w:p>
        </w:tc>
        <w:tc>
          <w:tcPr>
            <w:tcW w:w="4606" w:type="dxa"/>
            <w:tcBorders>
              <w:top w:val="single" w:sz="4" w:space="0" w:color="auto"/>
              <w:left w:val="single" w:sz="4" w:space="0" w:color="auto"/>
              <w:bottom w:val="single" w:sz="4" w:space="0" w:color="auto"/>
              <w:right w:val="nil"/>
            </w:tcBorders>
            <w:shd w:val="clear" w:color="auto" w:fill="auto"/>
            <w:noWrap/>
            <w:vAlign w:val="center"/>
            <w:hideMark/>
          </w:tcPr>
          <w:p w:rsidR="00247052" w:rsidRPr="004B18DA" w:rsidRDefault="00247052" w:rsidP="00247052">
            <w:pPr>
              <w:rPr>
                <w:rFonts w:ascii="Times New Roman" w:hAnsi="Times New Roman" w:cs="Times New Roman"/>
                <w:color w:val="000000"/>
                <w:sz w:val="24"/>
                <w:szCs w:val="24"/>
              </w:rPr>
            </w:pPr>
            <w:r w:rsidRPr="004B18DA">
              <w:rPr>
                <w:rFonts w:ascii="Times New Roman" w:hAnsi="Times New Roman" w:cs="Times New Roman"/>
                <w:color w:val="000000"/>
                <w:sz w:val="24"/>
                <w:szCs w:val="24"/>
              </w:rPr>
              <w:t>233.371805</w:t>
            </w:r>
          </w:p>
        </w:tc>
      </w:tr>
      <w:tr w:rsidR="00247052" w:rsidRPr="004B18DA" w:rsidTr="00572B75">
        <w:tblPrEx>
          <w:tblBorders>
            <w:top w:val="single" w:sz="4" w:space="0" w:color="auto"/>
          </w:tblBorders>
          <w:tblLook w:val="0000" w:firstRow="0" w:lastRow="0" w:firstColumn="0" w:lastColumn="0" w:noHBand="0" w:noVBand="0"/>
        </w:tblPrEx>
        <w:trPr>
          <w:trHeight w:val="100"/>
        </w:trPr>
        <w:tc>
          <w:tcPr>
            <w:tcW w:w="13821" w:type="dxa"/>
            <w:gridSpan w:val="6"/>
            <w:tcBorders>
              <w:top w:val="single" w:sz="4" w:space="0" w:color="auto"/>
            </w:tcBorders>
          </w:tcPr>
          <w:p w:rsidR="00247052" w:rsidRPr="004B18DA" w:rsidRDefault="00247052" w:rsidP="00247052">
            <w:pPr>
              <w:spacing w:line="240" w:lineRule="auto"/>
              <w:rPr>
                <w:rFonts w:ascii="Times New Roman" w:hAnsi="Times New Roman" w:cs="Times New Roman"/>
                <w:sz w:val="24"/>
                <w:szCs w:val="24"/>
              </w:rPr>
            </w:pPr>
          </w:p>
        </w:tc>
      </w:tr>
    </w:tbl>
    <w:p w:rsidR="00F36653" w:rsidRPr="00874EE9" w:rsidRDefault="006F3BF2" w:rsidP="00FB7BE0">
      <w:pPr>
        <w:spacing w:line="240" w:lineRule="auto"/>
        <w:rPr>
          <w:rFonts w:ascii="Times New Roman" w:hAnsi="Times New Roman" w:cs="Times New Roman"/>
          <w:b/>
          <w:sz w:val="24"/>
          <w:szCs w:val="24"/>
          <w:u w:val="single"/>
        </w:rPr>
      </w:pPr>
      <w:r w:rsidRPr="00874EE9">
        <w:rPr>
          <w:rFonts w:ascii="Times New Roman" w:hAnsi="Times New Roman" w:cs="Times New Roman"/>
          <w:b/>
          <w:sz w:val="24"/>
          <w:szCs w:val="24"/>
          <w:u w:val="single"/>
        </w:rPr>
        <w:t xml:space="preserve">bank’s return and </w:t>
      </w:r>
      <w:r w:rsidR="00804206" w:rsidRPr="00874EE9">
        <w:rPr>
          <w:rFonts w:ascii="Times New Roman" w:hAnsi="Times New Roman" w:cs="Times New Roman"/>
          <w:b/>
          <w:sz w:val="24"/>
          <w:szCs w:val="24"/>
          <w:u w:val="single"/>
        </w:rPr>
        <w:t>risk analysis</w:t>
      </w:r>
    </w:p>
    <w:p w:rsidR="00AD7A6A" w:rsidRDefault="00572B75" w:rsidP="00FB7BE0">
      <w:pPr>
        <w:spacing w:line="240" w:lineRule="auto"/>
        <w:rPr>
          <w:rFonts w:ascii="Times New Roman" w:hAnsi="Times New Roman" w:cs="Times New Roman"/>
          <w:sz w:val="24"/>
          <w:szCs w:val="24"/>
        </w:rPr>
      </w:pPr>
      <w:r>
        <w:rPr>
          <w:rFonts w:ascii="Times New Roman" w:hAnsi="Times New Roman" w:cs="Times New Roman"/>
          <w:b/>
          <w:sz w:val="24"/>
          <w:szCs w:val="24"/>
        </w:rPr>
        <w:t xml:space="preserve">SVB </w:t>
      </w:r>
      <w:r>
        <w:rPr>
          <w:rFonts w:ascii="Times New Roman" w:hAnsi="Times New Roman" w:cs="Times New Roman"/>
          <w:sz w:val="24"/>
          <w:szCs w:val="24"/>
        </w:rPr>
        <w:t>has had an ROA of above 1%since 2017 when it first crossed the 1%mark from 2016 value of 0.87</w:t>
      </w:r>
      <w:r w:rsidR="00804206">
        <w:rPr>
          <w:rFonts w:ascii="Times New Roman" w:hAnsi="Times New Roman" w:cs="Times New Roman"/>
          <w:sz w:val="24"/>
          <w:szCs w:val="24"/>
        </w:rPr>
        <w:t>%.</w:t>
      </w:r>
      <w:r>
        <w:rPr>
          <w:rFonts w:ascii="Times New Roman" w:hAnsi="Times New Roman" w:cs="Times New Roman"/>
          <w:sz w:val="24"/>
          <w:szCs w:val="24"/>
        </w:rPr>
        <w:t xml:space="preserve"> that shows the company has been more than 1% relative to total assets.</w:t>
      </w:r>
      <w:r w:rsidR="00B63E15">
        <w:rPr>
          <w:rFonts w:ascii="Times New Roman" w:hAnsi="Times New Roman" w:cs="Times New Roman"/>
          <w:sz w:val="24"/>
          <w:szCs w:val="24"/>
        </w:rPr>
        <w:t xml:space="preserve"> The bank has values of asset utilization of 0.0251 in 2020,0.0332 in 2019,0.0343 in 2018,0.0294 in 2017, 0.0262 in 2016. 2020 had the lowest asset utilization factor which means only $0.0251 of income was generated for every dollar of assets the bank owns.in 2018 there was the highest asset utilization of $0.0342.</w:t>
      </w:r>
    </w:p>
    <w:p w:rsidR="00B63E15" w:rsidRPr="00B63E15" w:rsidRDefault="00B63E15" w:rsidP="00FB7BE0">
      <w:pPr>
        <w:spacing w:line="240" w:lineRule="auto"/>
        <w:rPr>
          <w:rFonts w:ascii="Times New Roman" w:hAnsi="Times New Roman" w:cs="Times New Roman"/>
          <w:sz w:val="24"/>
          <w:szCs w:val="24"/>
        </w:rPr>
      </w:pPr>
      <w:r>
        <w:rPr>
          <w:rFonts w:ascii="Times New Roman" w:hAnsi="Times New Roman" w:cs="Times New Roman"/>
          <w:sz w:val="24"/>
          <w:szCs w:val="24"/>
        </w:rPr>
        <w:t>The cost of bearing funds was $</w:t>
      </w:r>
      <w:r w:rsidR="00804206">
        <w:rPr>
          <w:rFonts w:ascii="Times New Roman" w:hAnsi="Times New Roman" w:cs="Times New Roman"/>
          <w:sz w:val="24"/>
          <w:szCs w:val="24"/>
        </w:rPr>
        <w:t>85326, $212807, $</w:t>
      </w:r>
      <w:r>
        <w:rPr>
          <w:rFonts w:ascii="Times New Roman" w:hAnsi="Times New Roman" w:cs="Times New Roman"/>
          <w:sz w:val="24"/>
          <w:szCs w:val="24"/>
        </w:rPr>
        <w:t>75921 in 2020,2019 and 2018 respectively</w:t>
      </w:r>
      <w:r w:rsidR="00E62892">
        <w:rPr>
          <w:rFonts w:ascii="Times New Roman" w:hAnsi="Times New Roman" w:cs="Times New Roman"/>
          <w:sz w:val="24"/>
          <w:szCs w:val="24"/>
        </w:rPr>
        <w:t xml:space="preserve">. Clearly the cost of defaulted loans was the highest in 2019 and lowest in 2018 and thus 2018 had the lowest risk of customer loan </w:t>
      </w:r>
      <w:r w:rsidR="00804206">
        <w:rPr>
          <w:rFonts w:ascii="Times New Roman" w:hAnsi="Times New Roman" w:cs="Times New Roman"/>
          <w:sz w:val="24"/>
          <w:szCs w:val="24"/>
        </w:rPr>
        <w:t>defaulting. Other risk ratios are shown in the table for each year.</w:t>
      </w:r>
    </w:p>
    <w:p w:rsidR="00676CE0" w:rsidRPr="00874EE9" w:rsidRDefault="00676CE0" w:rsidP="00FB7BE0">
      <w:pPr>
        <w:spacing w:line="240" w:lineRule="auto"/>
        <w:rPr>
          <w:rFonts w:ascii="Times New Roman" w:hAnsi="Times New Roman" w:cs="Times New Roman"/>
          <w:b/>
          <w:sz w:val="24"/>
          <w:szCs w:val="24"/>
          <w:u w:val="single"/>
        </w:rPr>
      </w:pPr>
      <w:r w:rsidRPr="00874EE9">
        <w:rPr>
          <w:rFonts w:ascii="Times New Roman" w:hAnsi="Times New Roman" w:cs="Times New Roman"/>
          <w:b/>
          <w:sz w:val="24"/>
          <w:szCs w:val="24"/>
          <w:u w:val="single"/>
        </w:rPr>
        <w:t>return on equity (ROE) decomposition analysis</w:t>
      </w:r>
    </w:p>
    <w:p w:rsidR="004B18DA" w:rsidRPr="004B18DA" w:rsidRDefault="00676CE0" w:rsidP="00572B75">
      <w:pPr>
        <w:pBdr>
          <w:between w:val="single" w:sz="4" w:space="1" w:color="auto"/>
          <w:bar w:val="single" w:sz="4" w:color="auto"/>
        </w:pBdr>
        <w:spacing w:after="0"/>
        <w:rPr>
          <w:rFonts w:ascii="Times New Roman" w:eastAsia="Times New Roman" w:hAnsi="Times New Roman" w:cs="Times New Roman"/>
          <w:sz w:val="24"/>
          <w:szCs w:val="24"/>
        </w:rPr>
      </w:pPr>
      <w:r w:rsidRPr="00676CE0">
        <w:rPr>
          <w:rFonts w:ascii="Times New Roman" w:eastAsia="Times New Roman" w:hAnsi="Times New Roman" w:cs="Times New Roman"/>
          <w:sz w:val="24"/>
          <w:szCs w:val="24"/>
        </w:rPr>
        <w:t>Return on average equity ("ROE")</w:t>
      </w:r>
      <w:r w:rsidRPr="004B18DA">
        <w:rPr>
          <w:rFonts w:ascii="Times New Roman" w:eastAsia="Times New Roman" w:hAnsi="Times New Roman" w:cs="Times New Roman"/>
          <w:sz w:val="24"/>
          <w:szCs w:val="24"/>
        </w:rPr>
        <w:t xml:space="preserve"> </w:t>
      </w:r>
      <w:r w:rsidR="00016F24" w:rsidRPr="004B18DA">
        <w:rPr>
          <w:rFonts w:ascii="Times New Roman" w:eastAsia="Times New Roman" w:hAnsi="Times New Roman" w:cs="Times New Roman"/>
          <w:sz w:val="24"/>
          <w:szCs w:val="24"/>
        </w:rPr>
        <w:t>which is a measure of business ability to make profit relating to equity</w:t>
      </w:r>
      <w:r w:rsidRPr="004B18DA">
        <w:rPr>
          <w:rFonts w:ascii="Times New Roman" w:eastAsia="Times New Roman" w:hAnsi="Times New Roman" w:cs="Times New Roman"/>
          <w:sz w:val="24"/>
          <w:szCs w:val="24"/>
        </w:rPr>
        <w:t xml:space="preserve"> </w:t>
      </w:r>
      <w:r w:rsidR="00804206" w:rsidRPr="004B18DA">
        <w:rPr>
          <w:rFonts w:ascii="Times New Roman" w:eastAsia="Times New Roman" w:hAnsi="Times New Roman" w:cs="Times New Roman"/>
          <w:sz w:val="24"/>
          <w:szCs w:val="24"/>
        </w:rPr>
        <w:t>was 16.83</w:t>
      </w:r>
      <w:r w:rsidRPr="004B18DA">
        <w:rPr>
          <w:rFonts w:ascii="Times New Roman" w:eastAsia="Times New Roman" w:hAnsi="Times New Roman" w:cs="Times New Roman"/>
          <w:sz w:val="24"/>
          <w:szCs w:val="24"/>
        </w:rPr>
        <w:t xml:space="preserve">% in 2020 which was a drop from 2019 which was 20.03% </w:t>
      </w:r>
      <w:r w:rsidR="00016F24" w:rsidRPr="004B18DA">
        <w:rPr>
          <w:rFonts w:ascii="Times New Roman" w:eastAsia="Times New Roman" w:hAnsi="Times New Roman" w:cs="Times New Roman"/>
          <w:sz w:val="24"/>
          <w:szCs w:val="24"/>
        </w:rPr>
        <w:t xml:space="preserve">which was a drop from 2018’s value of 20.57. in 2017 ROE was 12.35% and was 10.90 %in </w:t>
      </w:r>
      <w:r w:rsidR="004B18DA" w:rsidRPr="004B18DA">
        <w:rPr>
          <w:rFonts w:ascii="Times New Roman" w:eastAsia="Times New Roman" w:hAnsi="Times New Roman" w:cs="Times New Roman"/>
          <w:sz w:val="24"/>
          <w:szCs w:val="24"/>
        </w:rPr>
        <w:t xml:space="preserve">2016. </w:t>
      </w:r>
      <w:r w:rsidR="00804206" w:rsidRPr="004B18DA">
        <w:rPr>
          <w:rFonts w:ascii="Times New Roman" w:eastAsia="Times New Roman" w:hAnsi="Times New Roman" w:cs="Times New Roman"/>
          <w:sz w:val="24"/>
          <w:szCs w:val="24"/>
        </w:rPr>
        <w:t>Generally,</w:t>
      </w:r>
      <w:r w:rsidR="004B18DA" w:rsidRPr="004B18DA">
        <w:rPr>
          <w:rFonts w:ascii="Times New Roman" w:eastAsia="Times New Roman" w:hAnsi="Times New Roman" w:cs="Times New Roman"/>
          <w:sz w:val="24"/>
          <w:szCs w:val="24"/>
        </w:rPr>
        <w:t xml:space="preserve"> the values of ROE have been on a steady rise since 2016 indicating a rise in net income per a dollar of shareholder’s investment.</w:t>
      </w:r>
    </w:p>
    <w:p w:rsidR="00676CE0" w:rsidRDefault="000A2BEE" w:rsidP="00676CE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o</w:t>
      </w:r>
      <w:r w:rsidR="00676CE0" w:rsidRPr="004B18DA">
        <w:rPr>
          <w:rFonts w:ascii="Times New Roman" w:eastAsia="Times New Roman" w:hAnsi="Times New Roman" w:cs="Times New Roman"/>
          <w:sz w:val="24"/>
          <w:szCs w:val="24"/>
        </w:rPr>
        <w:t xml:space="preserve">perating </w:t>
      </w:r>
      <w:r>
        <w:rPr>
          <w:rFonts w:ascii="Times New Roman" w:eastAsia="Times New Roman" w:hAnsi="Times New Roman" w:cs="Times New Roman"/>
          <w:sz w:val="24"/>
          <w:szCs w:val="24"/>
        </w:rPr>
        <w:t xml:space="preserve">efficiency ratio is </w:t>
      </w:r>
      <w:r w:rsidR="00676CE0" w:rsidRPr="004B18DA">
        <w:rPr>
          <w:rFonts w:ascii="Times New Roman" w:eastAsia="Times New Roman" w:hAnsi="Times New Roman" w:cs="Times New Roman"/>
          <w:sz w:val="24"/>
          <w:szCs w:val="24"/>
        </w:rPr>
        <w:t>50.92% with a non-GAAP core operating efficiency ratio of 55.90%+++.</w:t>
      </w:r>
    </w:p>
    <w:p w:rsidR="001D6270" w:rsidRDefault="001D6270" w:rsidP="00676CE0">
      <w:pPr>
        <w:rPr>
          <w:rFonts w:ascii="Times New Roman" w:eastAsia="Times New Roman" w:hAnsi="Times New Roman" w:cs="Times New Roman"/>
          <w:sz w:val="24"/>
          <w:szCs w:val="24"/>
        </w:rPr>
      </w:pPr>
    </w:p>
    <w:p w:rsidR="001D6270" w:rsidRDefault="001D6270" w:rsidP="00676CE0">
      <w:pPr>
        <w:rPr>
          <w:rFonts w:ascii="Times New Roman" w:eastAsia="Times New Roman" w:hAnsi="Times New Roman" w:cs="Times New Roman"/>
          <w:sz w:val="24"/>
          <w:szCs w:val="24"/>
        </w:rPr>
      </w:pPr>
    </w:p>
    <w:p w:rsidR="001D6270" w:rsidRDefault="001D6270" w:rsidP="00676CE0">
      <w:pPr>
        <w:rPr>
          <w:rFonts w:ascii="Helvetica" w:hAnsi="Helvetica"/>
          <w:color w:val="0A0A0A"/>
          <w:shd w:val="clear" w:color="auto" w:fill="F1F1F1"/>
        </w:rPr>
      </w:pPr>
      <w:r>
        <w:rPr>
          <w:rFonts w:ascii="Times New Roman" w:eastAsia="Times New Roman" w:hAnsi="Times New Roman" w:cs="Times New Roman"/>
          <w:sz w:val="24"/>
          <w:szCs w:val="24"/>
        </w:rPr>
        <w:t xml:space="preserve">The peer bank to </w:t>
      </w:r>
      <w:r w:rsidR="00A748D6">
        <w:rPr>
          <w:rFonts w:ascii="Times New Roman" w:eastAsia="Times New Roman" w:hAnsi="Times New Roman" w:cs="Times New Roman"/>
          <w:sz w:val="24"/>
          <w:szCs w:val="24"/>
        </w:rPr>
        <w:t>Silicon Valley</w:t>
      </w:r>
      <w:r>
        <w:rPr>
          <w:rFonts w:ascii="Times New Roman" w:eastAsia="Times New Roman" w:hAnsi="Times New Roman" w:cs="Times New Roman"/>
          <w:sz w:val="24"/>
          <w:szCs w:val="24"/>
        </w:rPr>
        <w:t xml:space="preserve"> bank is first republican bank has an asset size of </w:t>
      </w:r>
      <w:r>
        <w:rPr>
          <w:rFonts w:ascii="Helvetica" w:hAnsi="Helvetica"/>
          <w:color w:val="0A0A0A"/>
          <w:shd w:val="clear" w:color="auto" w:fill="F1F1F1"/>
        </w:rPr>
        <w:t xml:space="preserve">$142,502,134 and whose operations are banking, financial services and investment services just like </w:t>
      </w:r>
      <w:r w:rsidR="00A748D6">
        <w:rPr>
          <w:rFonts w:ascii="Helvetica" w:hAnsi="Helvetica"/>
          <w:color w:val="0A0A0A"/>
          <w:shd w:val="clear" w:color="auto" w:fill="F1F1F1"/>
        </w:rPr>
        <w:t>Silicon Valley</w:t>
      </w:r>
      <w:r>
        <w:rPr>
          <w:rFonts w:ascii="Helvetica" w:hAnsi="Helvetica"/>
          <w:color w:val="0A0A0A"/>
          <w:shd w:val="clear" w:color="auto" w:fill="F1F1F1"/>
        </w:rPr>
        <w:t xml:space="preserve"> bank. Income statements of first republican bank are attached below.</w:t>
      </w:r>
    </w:p>
    <w:p w:rsidR="001D6270" w:rsidRDefault="007D4B17" w:rsidP="00676CE0">
      <w:pPr>
        <w:rPr>
          <w:rFonts w:ascii="Times New Roman" w:eastAsia="Times New Roman" w:hAnsi="Times New Roman" w:cs="Times New Roman"/>
          <w:sz w:val="24"/>
          <w:szCs w:val="24"/>
        </w:rPr>
      </w:pPr>
      <w:r>
        <w:rPr>
          <w:noProof/>
        </w:rPr>
        <w:drawing>
          <wp:inline distT="0" distB="0" distL="0" distR="0" wp14:anchorId="5C498F9B" wp14:editId="2F9ED5DA">
            <wp:extent cx="5943600" cy="3215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215640"/>
                    </a:xfrm>
                    <a:prstGeom prst="rect">
                      <a:avLst/>
                    </a:prstGeom>
                  </pic:spPr>
                </pic:pic>
              </a:graphicData>
            </a:graphic>
          </wp:inline>
        </w:drawing>
      </w:r>
    </w:p>
    <w:p w:rsidR="007D4B17" w:rsidRDefault="007D4B17" w:rsidP="00676CE0">
      <w:pPr>
        <w:rPr>
          <w:rFonts w:ascii="Times New Roman" w:eastAsia="Times New Roman" w:hAnsi="Times New Roman" w:cs="Times New Roman"/>
          <w:sz w:val="24"/>
          <w:szCs w:val="24"/>
        </w:rPr>
      </w:pPr>
      <w:r>
        <w:rPr>
          <w:noProof/>
        </w:rPr>
        <w:drawing>
          <wp:inline distT="0" distB="0" distL="0" distR="0" wp14:anchorId="2A6EA673" wp14:editId="162B83A2">
            <wp:extent cx="5943600" cy="26714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671445"/>
                    </a:xfrm>
                    <a:prstGeom prst="rect">
                      <a:avLst/>
                    </a:prstGeom>
                  </pic:spPr>
                </pic:pic>
              </a:graphicData>
            </a:graphic>
          </wp:inline>
        </w:drawing>
      </w:r>
    </w:p>
    <w:p w:rsidR="007D4B17" w:rsidRDefault="007D4B17" w:rsidP="00676CE0">
      <w:pPr>
        <w:rPr>
          <w:rFonts w:ascii="Times New Roman" w:eastAsia="Times New Roman" w:hAnsi="Times New Roman" w:cs="Times New Roman"/>
          <w:sz w:val="24"/>
          <w:szCs w:val="24"/>
        </w:rPr>
      </w:pPr>
      <w:r>
        <w:rPr>
          <w:noProof/>
        </w:rPr>
        <w:lastRenderedPageBreak/>
        <w:drawing>
          <wp:inline distT="0" distB="0" distL="0" distR="0" wp14:anchorId="0ED5621E" wp14:editId="2DB41C47">
            <wp:extent cx="5943600" cy="33864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86455"/>
                    </a:xfrm>
                    <a:prstGeom prst="rect">
                      <a:avLst/>
                    </a:prstGeom>
                  </pic:spPr>
                </pic:pic>
              </a:graphicData>
            </a:graphic>
          </wp:inline>
        </w:drawing>
      </w:r>
    </w:p>
    <w:p w:rsidR="007D4B17" w:rsidRDefault="007D4B17" w:rsidP="00676CE0">
      <w:pPr>
        <w:rPr>
          <w:rFonts w:ascii="Times New Roman" w:eastAsia="Times New Roman" w:hAnsi="Times New Roman" w:cs="Times New Roman"/>
          <w:sz w:val="24"/>
          <w:szCs w:val="24"/>
        </w:rPr>
      </w:pPr>
      <w:r>
        <w:rPr>
          <w:noProof/>
        </w:rPr>
        <w:drawing>
          <wp:inline distT="0" distB="0" distL="0" distR="0" wp14:anchorId="28FC0C19" wp14:editId="1BDEDC11">
            <wp:extent cx="5943600" cy="14135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413510"/>
                    </a:xfrm>
                    <a:prstGeom prst="rect">
                      <a:avLst/>
                    </a:prstGeom>
                  </pic:spPr>
                </pic:pic>
              </a:graphicData>
            </a:graphic>
          </wp:inline>
        </w:drawing>
      </w:r>
    </w:p>
    <w:p w:rsidR="007D4B17" w:rsidRDefault="007D4B17" w:rsidP="00676CE0">
      <w:pPr>
        <w:rPr>
          <w:rFonts w:ascii="Times New Roman" w:eastAsia="Times New Roman" w:hAnsi="Times New Roman" w:cs="Times New Roman"/>
          <w:sz w:val="24"/>
          <w:szCs w:val="24"/>
        </w:rPr>
      </w:pPr>
      <w:r>
        <w:rPr>
          <w:noProof/>
        </w:rPr>
        <w:lastRenderedPageBreak/>
        <w:drawing>
          <wp:inline distT="0" distB="0" distL="0" distR="0" wp14:anchorId="688E0369" wp14:editId="51C47088">
            <wp:extent cx="5943600" cy="34118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411855"/>
                    </a:xfrm>
                    <a:prstGeom prst="rect">
                      <a:avLst/>
                    </a:prstGeom>
                  </pic:spPr>
                </pic:pic>
              </a:graphicData>
            </a:graphic>
          </wp:inline>
        </w:drawing>
      </w:r>
    </w:p>
    <w:p w:rsidR="007D4B17" w:rsidRDefault="007D4B17" w:rsidP="00676CE0">
      <w:pPr>
        <w:rPr>
          <w:rFonts w:ascii="Times New Roman" w:eastAsia="Times New Roman" w:hAnsi="Times New Roman" w:cs="Times New Roman"/>
          <w:sz w:val="24"/>
          <w:szCs w:val="24"/>
        </w:rPr>
      </w:pPr>
      <w:r>
        <w:rPr>
          <w:noProof/>
        </w:rPr>
        <w:drawing>
          <wp:inline distT="0" distB="0" distL="0" distR="0" wp14:anchorId="3D13B82E" wp14:editId="38C20B78">
            <wp:extent cx="5943600" cy="31953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195320"/>
                    </a:xfrm>
                    <a:prstGeom prst="rect">
                      <a:avLst/>
                    </a:prstGeom>
                  </pic:spPr>
                </pic:pic>
              </a:graphicData>
            </a:graphic>
          </wp:inline>
        </w:drawing>
      </w:r>
    </w:p>
    <w:p w:rsidR="007D4B17" w:rsidRDefault="007D4B17" w:rsidP="00676CE0">
      <w:pPr>
        <w:rPr>
          <w:rFonts w:ascii="Times New Roman" w:eastAsia="Times New Roman" w:hAnsi="Times New Roman" w:cs="Times New Roman"/>
          <w:sz w:val="24"/>
          <w:szCs w:val="24"/>
        </w:rPr>
      </w:pPr>
      <w:r>
        <w:rPr>
          <w:noProof/>
        </w:rPr>
        <w:lastRenderedPageBreak/>
        <w:drawing>
          <wp:inline distT="0" distB="0" distL="0" distR="0" wp14:anchorId="7E16AB9C" wp14:editId="0FCFB6A3">
            <wp:extent cx="5943600" cy="35223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522345"/>
                    </a:xfrm>
                    <a:prstGeom prst="rect">
                      <a:avLst/>
                    </a:prstGeom>
                  </pic:spPr>
                </pic:pic>
              </a:graphicData>
            </a:graphic>
          </wp:inline>
        </w:drawing>
      </w:r>
    </w:p>
    <w:p w:rsidR="007D4B17" w:rsidRDefault="007D4B17" w:rsidP="00676CE0">
      <w:pPr>
        <w:rPr>
          <w:rFonts w:ascii="Times New Roman" w:eastAsia="Times New Roman" w:hAnsi="Times New Roman" w:cs="Times New Roman"/>
          <w:sz w:val="24"/>
          <w:szCs w:val="24"/>
        </w:rPr>
      </w:pPr>
      <w:r>
        <w:rPr>
          <w:noProof/>
        </w:rPr>
        <w:drawing>
          <wp:inline distT="0" distB="0" distL="0" distR="0" wp14:anchorId="1E798878" wp14:editId="48EBE4C9">
            <wp:extent cx="5943600" cy="22701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270125"/>
                    </a:xfrm>
                    <a:prstGeom prst="rect">
                      <a:avLst/>
                    </a:prstGeom>
                  </pic:spPr>
                </pic:pic>
              </a:graphicData>
            </a:graphic>
          </wp:inline>
        </w:drawing>
      </w:r>
    </w:p>
    <w:p w:rsidR="00B46150" w:rsidRDefault="00B46150" w:rsidP="00676CE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SVB bank to change its interest rate exposure, it should change investment, pricing </w:t>
      </w:r>
      <w:r w:rsidR="00A748D6">
        <w:rPr>
          <w:rFonts w:ascii="Times New Roman" w:eastAsia="Times New Roman" w:hAnsi="Times New Roman" w:cs="Times New Roman"/>
          <w:sz w:val="24"/>
          <w:szCs w:val="24"/>
        </w:rPr>
        <w:t>strategies, funding</w:t>
      </w:r>
      <w:r>
        <w:rPr>
          <w:rFonts w:ascii="Times New Roman" w:eastAsia="Times New Roman" w:hAnsi="Times New Roman" w:cs="Times New Roman"/>
          <w:sz w:val="24"/>
          <w:szCs w:val="24"/>
        </w:rPr>
        <w:t xml:space="preserve"> and </w:t>
      </w:r>
      <w:r w:rsidR="00A748D6">
        <w:rPr>
          <w:rFonts w:ascii="Times New Roman" w:eastAsia="Times New Roman" w:hAnsi="Times New Roman" w:cs="Times New Roman"/>
          <w:sz w:val="24"/>
          <w:szCs w:val="24"/>
        </w:rPr>
        <w:t>lending and</w:t>
      </w:r>
      <w:r>
        <w:rPr>
          <w:rFonts w:ascii="Times New Roman" w:eastAsia="Times New Roman" w:hAnsi="Times New Roman" w:cs="Times New Roman"/>
          <w:sz w:val="24"/>
          <w:szCs w:val="24"/>
        </w:rPr>
        <w:t xml:space="preserve"> carry out management of repricing and maturity of those factors.</w:t>
      </w:r>
    </w:p>
    <w:p w:rsidR="00A748D6" w:rsidRDefault="00A748D6" w:rsidP="00676CE0">
      <w:pPr>
        <w:rPr>
          <w:rFonts w:ascii="Times New Roman" w:eastAsia="Times New Roman" w:hAnsi="Times New Roman" w:cs="Times New Roman"/>
          <w:sz w:val="24"/>
          <w:szCs w:val="24"/>
        </w:rPr>
      </w:pPr>
    </w:p>
    <w:p w:rsidR="00A748D6" w:rsidRDefault="00A748D6" w:rsidP="00676CE0">
      <w:pPr>
        <w:rPr>
          <w:rFonts w:ascii="Times New Roman" w:eastAsia="Times New Roman" w:hAnsi="Times New Roman" w:cs="Times New Roman"/>
          <w:b/>
          <w:sz w:val="24"/>
          <w:szCs w:val="24"/>
        </w:rPr>
      </w:pPr>
      <w:r w:rsidRPr="00A748D6">
        <w:rPr>
          <w:rFonts w:ascii="Times New Roman" w:eastAsia="Times New Roman" w:hAnsi="Times New Roman" w:cs="Times New Roman"/>
          <w:b/>
          <w:sz w:val="24"/>
          <w:szCs w:val="24"/>
        </w:rPr>
        <w:t>Part B</w:t>
      </w:r>
    </w:p>
    <w:p w:rsidR="00A748D6" w:rsidRPr="002722B1" w:rsidRDefault="00A748D6" w:rsidP="00676CE0">
      <w:pPr>
        <w:rPr>
          <w:rFonts w:ascii="Times New Roman" w:eastAsia="Times New Roman" w:hAnsi="Times New Roman" w:cs="Times New Roman"/>
          <w:b/>
          <w:sz w:val="24"/>
          <w:szCs w:val="24"/>
          <w:u w:val="single"/>
        </w:rPr>
      </w:pPr>
      <w:r w:rsidRPr="002722B1">
        <w:rPr>
          <w:rFonts w:ascii="Times New Roman" w:eastAsia="Times New Roman" w:hAnsi="Times New Roman" w:cs="Times New Roman"/>
          <w:b/>
          <w:sz w:val="24"/>
          <w:szCs w:val="24"/>
          <w:u w:val="single"/>
        </w:rPr>
        <w:t>Interest rate risk management</w:t>
      </w:r>
    </w:p>
    <w:p w:rsidR="00676CE0" w:rsidRDefault="00A7050E" w:rsidP="00676CE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table</w:t>
      </w:r>
      <w:r w:rsidR="002560B0">
        <w:rPr>
          <w:rFonts w:ascii="Times New Roman" w:eastAsia="Times New Roman" w:hAnsi="Times New Roman" w:cs="Times New Roman"/>
          <w:sz w:val="24"/>
          <w:szCs w:val="24"/>
        </w:rPr>
        <w:t xml:space="preserve"> below </w:t>
      </w:r>
      <w:r w:rsidR="00C1574A">
        <w:rPr>
          <w:rFonts w:ascii="Times New Roman" w:eastAsia="Times New Roman" w:hAnsi="Times New Roman" w:cs="Times New Roman"/>
          <w:sz w:val="24"/>
          <w:szCs w:val="24"/>
        </w:rPr>
        <w:t>shows how</w:t>
      </w:r>
      <w:r w:rsidR="002560B0">
        <w:rPr>
          <w:rFonts w:ascii="Times New Roman" w:eastAsia="Times New Roman" w:hAnsi="Times New Roman" w:cs="Times New Roman"/>
          <w:sz w:val="24"/>
          <w:szCs w:val="24"/>
        </w:rPr>
        <w:t xml:space="preserve"> </w:t>
      </w:r>
      <w:r w:rsidR="00F41138">
        <w:rPr>
          <w:rFonts w:ascii="Times New Roman" w:eastAsia="Times New Roman" w:hAnsi="Times New Roman" w:cs="Times New Roman"/>
          <w:sz w:val="24"/>
          <w:szCs w:val="24"/>
        </w:rPr>
        <w:t xml:space="preserve">net interest margin varies across the years for SVB.  </w:t>
      </w:r>
    </w:p>
    <w:tbl>
      <w:tblPr>
        <w:tblW w:w="11240" w:type="dxa"/>
        <w:tblLook w:val="04A0" w:firstRow="1" w:lastRow="0" w:firstColumn="1" w:lastColumn="0" w:noHBand="0" w:noVBand="1"/>
      </w:tblPr>
      <w:tblGrid>
        <w:gridCol w:w="2200"/>
        <w:gridCol w:w="2000"/>
        <w:gridCol w:w="3040"/>
        <w:gridCol w:w="2000"/>
        <w:gridCol w:w="2000"/>
      </w:tblGrid>
      <w:tr w:rsidR="002560B0" w:rsidRPr="002560B0" w:rsidTr="00F41138">
        <w:trPr>
          <w:trHeight w:val="255"/>
        </w:trPr>
        <w:tc>
          <w:tcPr>
            <w:tcW w:w="2200" w:type="dxa"/>
            <w:tcBorders>
              <w:top w:val="single" w:sz="4" w:space="0" w:color="auto"/>
              <w:left w:val="single" w:sz="4" w:space="0" w:color="auto"/>
              <w:bottom w:val="single" w:sz="4" w:space="0" w:color="auto"/>
              <w:right w:val="single" w:sz="4" w:space="0" w:color="auto"/>
            </w:tcBorders>
            <w:shd w:val="clear" w:color="auto" w:fill="auto"/>
            <w:noWrap/>
            <w:hideMark/>
          </w:tcPr>
          <w:p w:rsidR="002560B0" w:rsidRPr="002560B0" w:rsidRDefault="002560B0" w:rsidP="002560B0">
            <w:pPr>
              <w:spacing w:after="0" w:line="240" w:lineRule="auto"/>
              <w:jc w:val="right"/>
              <w:rPr>
                <w:rFonts w:ascii="Arial" w:eastAsia="Times New Roman" w:hAnsi="Arial" w:cs="Arial"/>
                <w:sz w:val="20"/>
                <w:szCs w:val="20"/>
              </w:rPr>
            </w:pPr>
            <w:r w:rsidRPr="002560B0">
              <w:rPr>
                <w:rFonts w:ascii="Arial" w:eastAsia="Times New Roman" w:hAnsi="Arial" w:cs="Arial"/>
                <w:sz w:val="20"/>
                <w:szCs w:val="20"/>
              </w:rPr>
              <w:t>2.67</w:t>
            </w:r>
          </w:p>
        </w:tc>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rsidR="002560B0" w:rsidRPr="002560B0" w:rsidRDefault="002560B0" w:rsidP="002560B0">
            <w:pPr>
              <w:spacing w:after="0" w:line="240" w:lineRule="auto"/>
              <w:jc w:val="right"/>
              <w:rPr>
                <w:rFonts w:ascii="Arial" w:eastAsia="Times New Roman" w:hAnsi="Arial" w:cs="Arial"/>
                <w:sz w:val="20"/>
                <w:szCs w:val="20"/>
              </w:rPr>
            </w:pPr>
            <w:r w:rsidRPr="002560B0">
              <w:rPr>
                <w:rFonts w:ascii="Arial" w:eastAsia="Times New Roman" w:hAnsi="Arial" w:cs="Arial"/>
                <w:sz w:val="20"/>
                <w:szCs w:val="20"/>
              </w:rPr>
              <w:t>3.51</w:t>
            </w:r>
          </w:p>
        </w:tc>
        <w:tc>
          <w:tcPr>
            <w:tcW w:w="3040" w:type="dxa"/>
            <w:tcBorders>
              <w:top w:val="single" w:sz="4" w:space="0" w:color="auto"/>
              <w:left w:val="single" w:sz="4" w:space="0" w:color="auto"/>
              <w:bottom w:val="single" w:sz="4" w:space="0" w:color="auto"/>
              <w:right w:val="single" w:sz="4" w:space="0" w:color="auto"/>
            </w:tcBorders>
            <w:shd w:val="clear" w:color="auto" w:fill="auto"/>
            <w:noWrap/>
            <w:hideMark/>
          </w:tcPr>
          <w:p w:rsidR="002560B0" w:rsidRPr="002560B0" w:rsidRDefault="002560B0" w:rsidP="002560B0">
            <w:pPr>
              <w:spacing w:after="0" w:line="240" w:lineRule="auto"/>
              <w:jc w:val="right"/>
              <w:rPr>
                <w:rFonts w:ascii="Arial" w:eastAsia="Times New Roman" w:hAnsi="Arial" w:cs="Arial"/>
                <w:sz w:val="20"/>
                <w:szCs w:val="20"/>
              </w:rPr>
            </w:pPr>
            <w:r w:rsidRPr="002560B0">
              <w:rPr>
                <w:rFonts w:ascii="Arial" w:eastAsia="Times New Roman" w:hAnsi="Arial" w:cs="Arial"/>
                <w:sz w:val="20"/>
                <w:szCs w:val="20"/>
              </w:rPr>
              <w:t>3.57</w:t>
            </w:r>
          </w:p>
        </w:tc>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rsidR="002560B0" w:rsidRPr="002560B0" w:rsidRDefault="002560B0" w:rsidP="002560B0">
            <w:pPr>
              <w:spacing w:after="0" w:line="240" w:lineRule="auto"/>
              <w:jc w:val="right"/>
              <w:rPr>
                <w:rFonts w:ascii="Arial" w:eastAsia="Times New Roman" w:hAnsi="Arial" w:cs="Arial"/>
                <w:sz w:val="20"/>
                <w:szCs w:val="20"/>
              </w:rPr>
            </w:pPr>
            <w:r w:rsidRPr="002560B0">
              <w:rPr>
                <w:rFonts w:ascii="Arial" w:eastAsia="Times New Roman" w:hAnsi="Arial" w:cs="Arial"/>
                <w:sz w:val="20"/>
                <w:szCs w:val="20"/>
              </w:rPr>
              <w:t>3.05</w:t>
            </w:r>
          </w:p>
        </w:tc>
        <w:tc>
          <w:tcPr>
            <w:tcW w:w="2000" w:type="dxa"/>
            <w:tcBorders>
              <w:top w:val="single" w:sz="4" w:space="0" w:color="auto"/>
              <w:left w:val="single" w:sz="4" w:space="0" w:color="auto"/>
              <w:bottom w:val="single" w:sz="4" w:space="0" w:color="auto"/>
              <w:right w:val="nil"/>
            </w:tcBorders>
            <w:shd w:val="clear" w:color="auto" w:fill="auto"/>
            <w:noWrap/>
            <w:hideMark/>
          </w:tcPr>
          <w:p w:rsidR="002560B0" w:rsidRPr="002560B0" w:rsidRDefault="002560B0" w:rsidP="00F41138">
            <w:pPr>
              <w:spacing w:after="0" w:line="240" w:lineRule="auto"/>
              <w:rPr>
                <w:rFonts w:ascii="Arial" w:eastAsia="Times New Roman" w:hAnsi="Arial" w:cs="Arial"/>
                <w:sz w:val="20"/>
                <w:szCs w:val="20"/>
              </w:rPr>
            </w:pPr>
            <w:r w:rsidRPr="002560B0">
              <w:rPr>
                <w:rFonts w:ascii="Arial" w:eastAsia="Times New Roman" w:hAnsi="Arial" w:cs="Arial"/>
                <w:sz w:val="20"/>
                <w:szCs w:val="20"/>
              </w:rPr>
              <w:t>2.72</w:t>
            </w:r>
          </w:p>
        </w:tc>
      </w:tr>
    </w:tbl>
    <w:p w:rsidR="00A748D6" w:rsidRDefault="00F41138" w:rsidP="00676CE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SVB partners with specialists to offer a wide range of financing options and diversify interest rate exposure.</w:t>
      </w:r>
    </w:p>
    <w:p w:rsidR="00F41138" w:rsidRDefault="00F41138" w:rsidP="00676CE0">
      <w:pPr>
        <w:rPr>
          <w:rFonts w:ascii="Times New Roman" w:eastAsia="Times New Roman" w:hAnsi="Times New Roman" w:cs="Times New Roman"/>
          <w:sz w:val="24"/>
          <w:szCs w:val="24"/>
        </w:rPr>
      </w:pPr>
      <w:r>
        <w:rPr>
          <w:rFonts w:ascii="Times New Roman" w:eastAsia="Times New Roman" w:hAnsi="Times New Roman" w:cs="Times New Roman"/>
          <w:sz w:val="24"/>
          <w:szCs w:val="24"/>
        </w:rPr>
        <w:t>Banks can also do that through interest swaps where one party pays fixed interest rate but receives a floating rate and the other party paying a floating rate receives a fixed rate.an option for entering into a swap is called a swaption.</w:t>
      </w:r>
    </w:p>
    <w:p w:rsidR="00F41138" w:rsidRDefault="00F41138" w:rsidP="00676CE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can also be done through caps also known as ceiling which is a call option for </w:t>
      </w:r>
      <w:r w:rsidR="00C1574A">
        <w:rPr>
          <w:rFonts w:ascii="Times New Roman" w:eastAsia="Times New Roman" w:hAnsi="Times New Roman" w:cs="Times New Roman"/>
          <w:sz w:val="24"/>
          <w:szCs w:val="24"/>
        </w:rPr>
        <w:t>rates. Interest rate cap is a series of component options or caplets for each period the cap agreement exists.it is designed to provide protection against a rise in the benchmark interest rate</w:t>
      </w:r>
    </w:p>
    <w:p w:rsidR="00C1574A" w:rsidRDefault="00C1574A" w:rsidP="00676CE0">
      <w:pPr>
        <w:rPr>
          <w:rFonts w:ascii="Times New Roman" w:eastAsia="Times New Roman" w:hAnsi="Times New Roman" w:cs="Times New Roman"/>
          <w:sz w:val="24"/>
          <w:szCs w:val="24"/>
        </w:rPr>
      </w:pPr>
      <w:r>
        <w:rPr>
          <w:rFonts w:ascii="Times New Roman" w:eastAsia="Times New Roman" w:hAnsi="Times New Roman" w:cs="Times New Roman"/>
          <w:sz w:val="24"/>
          <w:szCs w:val="24"/>
        </w:rPr>
        <w:t>Another technique is collaring which is achieved by simultaneously buying a cap and selling a floor</w:t>
      </w:r>
    </w:p>
    <w:p w:rsidR="00C1574A" w:rsidRDefault="00C1574A" w:rsidP="00676CE0">
      <w:pPr>
        <w:rPr>
          <w:rFonts w:ascii="Times New Roman" w:eastAsia="Times New Roman" w:hAnsi="Times New Roman" w:cs="Times New Roman"/>
          <w:sz w:val="24"/>
          <w:szCs w:val="24"/>
        </w:rPr>
      </w:pPr>
    </w:p>
    <w:p w:rsidR="00C1574A" w:rsidRDefault="00C1574A" w:rsidP="00676CE0">
      <w:pPr>
        <w:rPr>
          <w:rFonts w:ascii="Times New Roman" w:eastAsia="Times New Roman" w:hAnsi="Times New Roman" w:cs="Times New Roman"/>
          <w:sz w:val="24"/>
          <w:szCs w:val="24"/>
        </w:rPr>
      </w:pPr>
    </w:p>
    <w:p w:rsidR="00C1574A" w:rsidRDefault="00C1574A" w:rsidP="00676CE0">
      <w:pPr>
        <w:rPr>
          <w:rFonts w:ascii="Times New Roman" w:eastAsia="Times New Roman" w:hAnsi="Times New Roman" w:cs="Times New Roman"/>
          <w:sz w:val="24"/>
          <w:szCs w:val="24"/>
        </w:rPr>
      </w:pPr>
    </w:p>
    <w:p w:rsidR="00C1574A" w:rsidRDefault="00C1574A" w:rsidP="00676CE0">
      <w:pPr>
        <w:rPr>
          <w:rFonts w:ascii="Times New Roman" w:eastAsia="Times New Roman" w:hAnsi="Times New Roman" w:cs="Times New Roman"/>
          <w:sz w:val="24"/>
          <w:szCs w:val="24"/>
        </w:rPr>
      </w:pPr>
    </w:p>
    <w:p w:rsidR="00C1574A" w:rsidRDefault="00C1574A" w:rsidP="00676CE0">
      <w:pPr>
        <w:rPr>
          <w:rFonts w:ascii="Times New Roman" w:eastAsia="Times New Roman" w:hAnsi="Times New Roman" w:cs="Times New Roman"/>
          <w:sz w:val="24"/>
          <w:szCs w:val="24"/>
        </w:rPr>
      </w:pPr>
    </w:p>
    <w:p w:rsidR="00C1574A" w:rsidRDefault="00C1574A" w:rsidP="00676CE0">
      <w:pPr>
        <w:rPr>
          <w:rFonts w:ascii="Times New Roman" w:eastAsia="Times New Roman" w:hAnsi="Times New Roman" w:cs="Times New Roman"/>
          <w:sz w:val="24"/>
          <w:szCs w:val="24"/>
        </w:rPr>
      </w:pPr>
    </w:p>
    <w:p w:rsidR="00C1574A" w:rsidRDefault="00C1574A" w:rsidP="00676CE0">
      <w:pPr>
        <w:rPr>
          <w:rFonts w:ascii="Times New Roman" w:eastAsia="Times New Roman" w:hAnsi="Times New Roman" w:cs="Times New Roman"/>
          <w:sz w:val="24"/>
          <w:szCs w:val="24"/>
        </w:rPr>
      </w:pPr>
    </w:p>
    <w:p w:rsidR="00C1574A" w:rsidRDefault="00C1574A" w:rsidP="00676CE0">
      <w:pPr>
        <w:rPr>
          <w:rFonts w:ascii="Times New Roman" w:eastAsia="Times New Roman" w:hAnsi="Times New Roman" w:cs="Times New Roman"/>
          <w:sz w:val="24"/>
          <w:szCs w:val="24"/>
        </w:rPr>
      </w:pPr>
    </w:p>
    <w:p w:rsidR="00C1574A" w:rsidRDefault="00C1574A" w:rsidP="00676CE0">
      <w:pPr>
        <w:rPr>
          <w:rFonts w:ascii="Times New Roman" w:eastAsia="Times New Roman" w:hAnsi="Times New Roman" w:cs="Times New Roman"/>
          <w:sz w:val="24"/>
          <w:szCs w:val="24"/>
        </w:rPr>
      </w:pPr>
    </w:p>
    <w:p w:rsidR="00C1574A" w:rsidRDefault="00C1574A" w:rsidP="00676CE0">
      <w:pPr>
        <w:rPr>
          <w:rFonts w:ascii="Times New Roman" w:eastAsia="Times New Roman" w:hAnsi="Times New Roman" w:cs="Times New Roman"/>
          <w:sz w:val="24"/>
          <w:szCs w:val="24"/>
        </w:rPr>
      </w:pPr>
    </w:p>
    <w:p w:rsidR="00C1574A" w:rsidRPr="00C1574A" w:rsidRDefault="00C1574A" w:rsidP="00676CE0">
      <w:pPr>
        <w:rPr>
          <w:rFonts w:ascii="Times New Roman" w:eastAsia="Times New Roman" w:hAnsi="Times New Roman" w:cs="Times New Roman"/>
          <w:b/>
          <w:sz w:val="24"/>
          <w:szCs w:val="24"/>
        </w:rPr>
      </w:pPr>
    </w:p>
    <w:p w:rsidR="00C1574A" w:rsidRPr="002722B1" w:rsidRDefault="00C1574A" w:rsidP="00676CE0">
      <w:pPr>
        <w:rPr>
          <w:rFonts w:ascii="Times New Roman" w:eastAsia="Times New Roman" w:hAnsi="Times New Roman" w:cs="Times New Roman"/>
          <w:b/>
          <w:sz w:val="24"/>
          <w:szCs w:val="24"/>
          <w:u w:val="single"/>
        </w:rPr>
      </w:pPr>
      <w:r w:rsidRPr="002722B1">
        <w:rPr>
          <w:rFonts w:ascii="Times New Roman" w:eastAsia="Times New Roman" w:hAnsi="Times New Roman" w:cs="Times New Roman"/>
          <w:b/>
          <w:sz w:val="24"/>
          <w:szCs w:val="24"/>
          <w:u w:val="single"/>
        </w:rPr>
        <w:t>Part C: CORPORATE GOVERNANCE ANALYSIS</w:t>
      </w:r>
    </w:p>
    <w:p w:rsidR="00C1574A" w:rsidRDefault="00C1574A" w:rsidP="00676CE0">
      <w:pPr>
        <w:rPr>
          <w:rFonts w:ascii="Times New Roman" w:eastAsia="Times New Roman" w:hAnsi="Times New Roman" w:cs="Times New Roman"/>
          <w:sz w:val="24"/>
          <w:szCs w:val="24"/>
        </w:rPr>
      </w:pPr>
      <w:r>
        <w:rPr>
          <w:rFonts w:ascii="Times New Roman" w:eastAsia="Times New Roman" w:hAnsi="Times New Roman" w:cs="Times New Roman"/>
          <w:sz w:val="24"/>
          <w:szCs w:val="24"/>
        </w:rPr>
        <w:t>Corporate governance refers to principles set by the bank to direct all its operations encompassing all fields.it involves balancing the interests of all the stakeholders.</w:t>
      </w:r>
    </w:p>
    <w:p w:rsidR="00C1574A" w:rsidRDefault="00C1574A" w:rsidP="00676CE0">
      <w:pPr>
        <w:rPr>
          <w:rFonts w:ascii="Times New Roman" w:eastAsia="Times New Roman" w:hAnsi="Times New Roman" w:cs="Times New Roman"/>
          <w:sz w:val="24"/>
          <w:szCs w:val="24"/>
        </w:rPr>
      </w:pPr>
      <w:r>
        <w:rPr>
          <w:rFonts w:ascii="Times New Roman" w:eastAsia="Times New Roman" w:hAnsi="Times New Roman" w:cs="Times New Roman"/>
          <w:sz w:val="24"/>
          <w:szCs w:val="24"/>
        </w:rPr>
        <w:t>Mechanisms used include:</w:t>
      </w:r>
    </w:p>
    <w:p w:rsidR="00676CE0" w:rsidRDefault="00C1574A" w:rsidP="00676CE0">
      <w:pPr>
        <w:pStyle w:val="ListParagraph"/>
        <w:numPr>
          <w:ilvl w:val="0"/>
          <w:numId w:val="1"/>
        </w:numPr>
        <w:rPr>
          <w:rFonts w:ascii="Times New Roman" w:eastAsia="Times New Roman" w:hAnsi="Times New Roman" w:cs="Times New Roman"/>
          <w:sz w:val="24"/>
          <w:szCs w:val="24"/>
        </w:rPr>
      </w:pPr>
      <w:r w:rsidRPr="002722B1">
        <w:rPr>
          <w:rFonts w:ascii="Times New Roman" w:eastAsia="Times New Roman" w:hAnsi="Times New Roman" w:cs="Times New Roman"/>
          <w:b/>
          <w:sz w:val="24"/>
          <w:szCs w:val="24"/>
        </w:rPr>
        <w:t>Structure of the board</w:t>
      </w:r>
      <w:r>
        <w:rPr>
          <w:rFonts w:ascii="Times New Roman" w:eastAsia="Times New Roman" w:hAnsi="Times New Roman" w:cs="Times New Roman"/>
          <w:sz w:val="24"/>
          <w:szCs w:val="24"/>
        </w:rPr>
        <w:t xml:space="preserve">: </w:t>
      </w:r>
      <w:r w:rsidR="0010557B">
        <w:rPr>
          <w:rFonts w:ascii="Times New Roman" w:eastAsia="Times New Roman" w:hAnsi="Times New Roman" w:cs="Times New Roman"/>
          <w:sz w:val="24"/>
          <w:szCs w:val="24"/>
        </w:rPr>
        <w:t>a board of directors is used to ensure the risk of shareholder and investors is earning enough returns. Board members are selected by shareholders at annual meetings and have the duty to set compensation levels, oversee directors, set vision and mission statements for the company and de</w:t>
      </w:r>
      <w:r w:rsidR="005774CF">
        <w:rPr>
          <w:rFonts w:ascii="Times New Roman" w:eastAsia="Times New Roman" w:hAnsi="Times New Roman" w:cs="Times New Roman"/>
          <w:sz w:val="24"/>
          <w:szCs w:val="24"/>
        </w:rPr>
        <w:t>l with conflicts that may arise. T</w:t>
      </w:r>
      <w:r w:rsidR="0010557B">
        <w:rPr>
          <w:rFonts w:ascii="Times New Roman" w:eastAsia="Times New Roman" w:hAnsi="Times New Roman" w:cs="Times New Roman"/>
          <w:sz w:val="24"/>
          <w:szCs w:val="24"/>
        </w:rPr>
        <w:t>he board being comprised of people that are not direct employees of the company, is an object opinion for governance.</w:t>
      </w:r>
    </w:p>
    <w:p w:rsidR="0010557B" w:rsidRDefault="0010557B" w:rsidP="00676CE0">
      <w:pPr>
        <w:pStyle w:val="ListParagraph"/>
        <w:numPr>
          <w:ilvl w:val="0"/>
          <w:numId w:val="1"/>
        </w:numPr>
        <w:rPr>
          <w:rFonts w:ascii="Times New Roman" w:eastAsia="Times New Roman" w:hAnsi="Times New Roman" w:cs="Times New Roman"/>
          <w:sz w:val="24"/>
          <w:szCs w:val="24"/>
        </w:rPr>
      </w:pPr>
      <w:r w:rsidRPr="002722B1">
        <w:rPr>
          <w:rFonts w:ascii="Times New Roman" w:eastAsia="Times New Roman" w:hAnsi="Times New Roman" w:cs="Times New Roman"/>
          <w:b/>
          <w:sz w:val="24"/>
          <w:szCs w:val="24"/>
        </w:rPr>
        <w:t>Compensation</w:t>
      </w:r>
      <w:r>
        <w:rPr>
          <w:rFonts w:ascii="Times New Roman" w:eastAsia="Times New Roman" w:hAnsi="Times New Roman" w:cs="Times New Roman"/>
          <w:sz w:val="24"/>
          <w:szCs w:val="24"/>
        </w:rPr>
        <w:t>: this is a performance-based management organization which off</w:t>
      </w:r>
      <w:r w:rsidR="005774CF">
        <w:rPr>
          <w:rFonts w:ascii="Times New Roman" w:eastAsia="Times New Roman" w:hAnsi="Times New Roman" w:cs="Times New Roman"/>
          <w:sz w:val="24"/>
          <w:szCs w:val="24"/>
        </w:rPr>
        <w:t>er</w:t>
      </w:r>
      <w:r>
        <w:rPr>
          <w:rFonts w:ascii="Times New Roman" w:eastAsia="Times New Roman" w:hAnsi="Times New Roman" w:cs="Times New Roman"/>
          <w:sz w:val="24"/>
          <w:szCs w:val="24"/>
        </w:rPr>
        <w:t>s individuals shares, additions, time off inclusive of other many benefits</w:t>
      </w:r>
      <w:r w:rsidR="005774CF">
        <w:rPr>
          <w:rFonts w:ascii="Times New Roman" w:eastAsia="Times New Roman" w:hAnsi="Times New Roman" w:cs="Times New Roman"/>
          <w:sz w:val="24"/>
          <w:szCs w:val="24"/>
        </w:rPr>
        <w:t>.</w:t>
      </w:r>
    </w:p>
    <w:p w:rsidR="005774CF" w:rsidRDefault="005774CF" w:rsidP="00676CE0">
      <w:pPr>
        <w:pStyle w:val="ListParagraph"/>
        <w:numPr>
          <w:ilvl w:val="0"/>
          <w:numId w:val="1"/>
        </w:numPr>
        <w:rPr>
          <w:rFonts w:ascii="Times New Roman" w:eastAsia="Times New Roman" w:hAnsi="Times New Roman" w:cs="Times New Roman"/>
          <w:sz w:val="24"/>
          <w:szCs w:val="24"/>
        </w:rPr>
      </w:pPr>
      <w:r w:rsidRPr="002722B1">
        <w:rPr>
          <w:rFonts w:ascii="Times New Roman" w:eastAsia="Times New Roman" w:hAnsi="Times New Roman" w:cs="Times New Roman"/>
          <w:b/>
          <w:sz w:val="24"/>
          <w:szCs w:val="24"/>
        </w:rPr>
        <w:lastRenderedPageBreak/>
        <w:t>Balancing power</w:t>
      </w:r>
      <w:r>
        <w:rPr>
          <w:rFonts w:ascii="Times New Roman" w:eastAsia="Times New Roman" w:hAnsi="Times New Roman" w:cs="Times New Roman"/>
          <w:sz w:val="24"/>
          <w:szCs w:val="24"/>
        </w:rPr>
        <w:t>: multiple departments, divisions and manager are put in place to spread responsibility and limit tasks individuals undertake and thus ensures no one can overextend the resources of the company.</w:t>
      </w:r>
    </w:p>
    <w:p w:rsidR="005774CF" w:rsidRDefault="005774CF" w:rsidP="00676CE0">
      <w:pPr>
        <w:pStyle w:val="ListParagraph"/>
        <w:numPr>
          <w:ilvl w:val="0"/>
          <w:numId w:val="1"/>
        </w:numPr>
        <w:rPr>
          <w:rFonts w:ascii="Times New Roman" w:eastAsia="Times New Roman" w:hAnsi="Times New Roman" w:cs="Times New Roman"/>
          <w:sz w:val="24"/>
          <w:szCs w:val="24"/>
        </w:rPr>
      </w:pPr>
      <w:r w:rsidRPr="002722B1">
        <w:rPr>
          <w:rFonts w:ascii="Times New Roman" w:eastAsia="Times New Roman" w:hAnsi="Times New Roman" w:cs="Times New Roman"/>
          <w:b/>
          <w:sz w:val="24"/>
          <w:szCs w:val="24"/>
        </w:rPr>
        <w:t>Internal controls</w:t>
      </w:r>
      <w:r>
        <w:rPr>
          <w:rFonts w:ascii="Times New Roman" w:eastAsia="Times New Roman" w:hAnsi="Times New Roman" w:cs="Times New Roman"/>
          <w:sz w:val="24"/>
          <w:szCs w:val="24"/>
        </w:rPr>
        <w:t>: these are procedures each staff member follows in a company set up which helps safeguard a company’s financial information as well as business information.</w:t>
      </w:r>
    </w:p>
    <w:p w:rsidR="005774CF" w:rsidRDefault="005774CF" w:rsidP="00676CE0">
      <w:pPr>
        <w:pStyle w:val="ListParagraph"/>
        <w:numPr>
          <w:ilvl w:val="0"/>
          <w:numId w:val="1"/>
        </w:numPr>
        <w:rPr>
          <w:rFonts w:ascii="Times New Roman" w:eastAsia="Times New Roman" w:hAnsi="Times New Roman" w:cs="Times New Roman"/>
          <w:sz w:val="24"/>
          <w:szCs w:val="24"/>
        </w:rPr>
      </w:pPr>
      <w:r w:rsidRPr="002722B1">
        <w:rPr>
          <w:rFonts w:ascii="Times New Roman" w:eastAsia="Times New Roman" w:hAnsi="Times New Roman" w:cs="Times New Roman"/>
          <w:b/>
          <w:sz w:val="24"/>
          <w:szCs w:val="24"/>
        </w:rPr>
        <w:t>Code of conduct</w:t>
      </w:r>
      <w:r>
        <w:rPr>
          <w:rFonts w:ascii="Times New Roman" w:eastAsia="Times New Roman" w:hAnsi="Times New Roman" w:cs="Times New Roman"/>
          <w:sz w:val="24"/>
          <w:szCs w:val="24"/>
        </w:rPr>
        <w:t xml:space="preserve"> outlines the responsibilities stakeholders should comply with when exercising their authority.</w:t>
      </w:r>
    </w:p>
    <w:p w:rsidR="005774CF" w:rsidRPr="0010557B" w:rsidRDefault="005774CF" w:rsidP="005774CF">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SVB uses boar</w:t>
      </w:r>
      <w:r w:rsidR="002722B1">
        <w:rPr>
          <w:rFonts w:ascii="Times New Roman" w:eastAsia="Times New Roman" w:hAnsi="Times New Roman" w:cs="Times New Roman"/>
          <w:sz w:val="24"/>
          <w:szCs w:val="24"/>
        </w:rPr>
        <w:t>d of directors headed by the CEO, enforces a strict employees code of conduct which they ensure is strictly adhered to and on top of that maintains the highest standards of business ethics.</w:t>
      </w:r>
    </w:p>
    <w:p w:rsidR="00676CE0" w:rsidRPr="00676CE0" w:rsidRDefault="00676CE0" w:rsidP="00676CE0">
      <w:pPr>
        <w:spacing w:after="0" w:line="240" w:lineRule="auto"/>
        <w:rPr>
          <w:rFonts w:ascii="Arial" w:eastAsia="Times New Roman" w:hAnsi="Arial" w:cs="Arial"/>
          <w:sz w:val="20"/>
          <w:szCs w:val="20"/>
        </w:rPr>
      </w:pPr>
    </w:p>
    <w:p w:rsidR="00676CE0" w:rsidRPr="00676CE0" w:rsidRDefault="00676CE0" w:rsidP="00FB7BE0">
      <w:pPr>
        <w:spacing w:line="240" w:lineRule="auto"/>
      </w:pPr>
    </w:p>
    <w:p w:rsidR="006F3BF2" w:rsidRDefault="002722B1" w:rsidP="00FB7BE0">
      <w:pPr>
        <w:spacing w:line="240" w:lineRule="auto"/>
        <w:rPr>
          <w:rFonts w:ascii="Times New Roman" w:hAnsi="Times New Roman" w:cs="Times New Roman"/>
          <w:b/>
          <w:sz w:val="24"/>
          <w:szCs w:val="24"/>
          <w:u w:val="single"/>
        </w:rPr>
      </w:pPr>
      <w:r w:rsidRPr="002722B1">
        <w:rPr>
          <w:rFonts w:ascii="Times New Roman" w:hAnsi="Times New Roman" w:cs="Times New Roman"/>
          <w:b/>
          <w:sz w:val="24"/>
          <w:szCs w:val="24"/>
          <w:u w:val="single"/>
        </w:rPr>
        <w:t>Part D:</w:t>
      </w:r>
      <w:r>
        <w:rPr>
          <w:rFonts w:ascii="Times New Roman" w:hAnsi="Times New Roman" w:cs="Times New Roman"/>
          <w:b/>
          <w:sz w:val="24"/>
          <w:szCs w:val="24"/>
          <w:u w:val="single"/>
        </w:rPr>
        <w:t xml:space="preserve"> </w:t>
      </w:r>
      <w:r w:rsidRPr="002722B1">
        <w:rPr>
          <w:rFonts w:ascii="Times New Roman" w:hAnsi="Times New Roman" w:cs="Times New Roman"/>
          <w:b/>
          <w:sz w:val="24"/>
          <w:szCs w:val="24"/>
          <w:u w:val="single"/>
        </w:rPr>
        <w:t>CAPITAL ADEQUACY</w:t>
      </w:r>
    </w:p>
    <w:p w:rsidR="002722B1" w:rsidRPr="002722B1" w:rsidRDefault="002722B1" w:rsidP="00FB7BE0">
      <w:pPr>
        <w:spacing w:line="240" w:lineRule="auto"/>
        <w:rPr>
          <w:rFonts w:ascii="Times New Roman" w:hAnsi="Times New Roman" w:cs="Times New Roman"/>
          <w:sz w:val="24"/>
          <w:szCs w:val="24"/>
        </w:rPr>
      </w:pPr>
      <w:r>
        <w:rPr>
          <w:rFonts w:ascii="Times New Roman" w:hAnsi="Times New Roman" w:cs="Times New Roman"/>
          <w:sz w:val="24"/>
          <w:szCs w:val="24"/>
        </w:rPr>
        <w:t xml:space="preserve">As per the first balanced sheet, </w:t>
      </w:r>
    </w:p>
    <w:p w:rsidR="002722B1" w:rsidRDefault="002722B1" w:rsidP="002722B1">
      <w:pPr>
        <w:rPr>
          <w:rFonts w:ascii="Arial" w:eastAsia="Times New Roman" w:hAnsi="Arial" w:cs="Arial"/>
          <w:sz w:val="20"/>
          <w:szCs w:val="20"/>
        </w:rPr>
      </w:pPr>
      <w:r>
        <w:rPr>
          <w:rFonts w:ascii="Arial" w:eastAsia="Times New Roman" w:hAnsi="Arial" w:cs="Arial"/>
          <w:sz w:val="20"/>
          <w:szCs w:val="20"/>
        </w:rPr>
        <w:t>SVB has a</w:t>
      </w:r>
      <w:r w:rsidR="00D827D3">
        <w:rPr>
          <w:rFonts w:ascii="Arial" w:eastAsia="Times New Roman" w:hAnsi="Arial" w:cs="Arial"/>
          <w:sz w:val="20"/>
          <w:szCs w:val="20"/>
        </w:rPr>
        <w:t xml:space="preserve"> </w:t>
      </w:r>
      <w:r w:rsidRPr="002722B1">
        <w:rPr>
          <w:rFonts w:ascii="Arial" w:eastAsia="Times New Roman" w:hAnsi="Arial" w:cs="Arial"/>
          <w:sz w:val="20"/>
          <w:szCs w:val="20"/>
        </w:rPr>
        <w:t>Continued strong capital, with all</w:t>
      </w:r>
      <w:r>
        <w:rPr>
          <w:rFonts w:ascii="Arial" w:eastAsia="Times New Roman" w:hAnsi="Arial" w:cs="Arial"/>
          <w:sz w:val="20"/>
          <w:szCs w:val="20"/>
        </w:rPr>
        <w:t xml:space="preserve"> </w:t>
      </w:r>
      <w:r w:rsidRPr="002722B1">
        <w:rPr>
          <w:rFonts w:ascii="Arial" w:eastAsia="Times New Roman" w:hAnsi="Arial" w:cs="Arial"/>
          <w:sz w:val="20"/>
          <w:szCs w:val="20"/>
        </w:rPr>
        <w:t>capital ratios considered "well-capitalized" under</w:t>
      </w:r>
      <w:r>
        <w:rPr>
          <w:rFonts w:ascii="Arial" w:eastAsia="Times New Roman" w:hAnsi="Arial" w:cs="Arial"/>
          <w:sz w:val="20"/>
          <w:szCs w:val="20"/>
        </w:rPr>
        <w:t xml:space="preserve"> </w:t>
      </w:r>
      <w:r w:rsidRPr="002722B1">
        <w:rPr>
          <w:rFonts w:ascii="Arial" w:eastAsia="Times New Roman" w:hAnsi="Arial" w:cs="Arial"/>
          <w:sz w:val="20"/>
          <w:szCs w:val="20"/>
        </w:rPr>
        <w:t>banking regulations. SVBFG and SVB capital ratios,</w:t>
      </w:r>
      <w:r w:rsidRPr="002722B1">
        <w:rPr>
          <w:rFonts w:ascii="Arial" w:hAnsi="Arial" w:cs="Arial"/>
          <w:sz w:val="20"/>
          <w:szCs w:val="20"/>
        </w:rPr>
        <w:t xml:space="preserve"> </w:t>
      </w:r>
      <w:r w:rsidRPr="002722B1">
        <w:rPr>
          <w:rFonts w:ascii="Arial" w:eastAsia="Times New Roman" w:hAnsi="Arial" w:cs="Arial"/>
          <w:sz w:val="20"/>
          <w:szCs w:val="20"/>
        </w:rPr>
        <w:t>respectively, were:</w:t>
      </w:r>
      <w:r>
        <w:rPr>
          <w:rFonts w:ascii="Arial" w:eastAsia="Times New Roman" w:hAnsi="Arial" w:cs="Arial"/>
          <w:sz w:val="20"/>
          <w:szCs w:val="20"/>
        </w:rPr>
        <w:t xml:space="preserve"> </w:t>
      </w:r>
      <w:r w:rsidRPr="002722B1">
        <w:rPr>
          <w:rFonts w:ascii="Arial" w:eastAsia="Times New Roman" w:hAnsi="Arial" w:cs="Arial"/>
          <w:sz w:val="20"/>
          <w:szCs w:val="20"/>
        </w:rPr>
        <w:t>- CET 1 risk-based capital ratio of 11.04% and</w:t>
      </w:r>
      <w:r>
        <w:rPr>
          <w:rFonts w:ascii="Arial" w:eastAsia="Times New Roman" w:hAnsi="Arial" w:cs="Arial"/>
          <w:sz w:val="20"/>
          <w:szCs w:val="20"/>
        </w:rPr>
        <w:t xml:space="preserve"> </w:t>
      </w:r>
      <w:r w:rsidRPr="002722B1">
        <w:rPr>
          <w:rFonts w:ascii="Arial" w:eastAsia="Times New Roman" w:hAnsi="Arial" w:cs="Arial"/>
          <w:sz w:val="20"/>
          <w:szCs w:val="20"/>
        </w:rPr>
        <w:t>10.70%.</w:t>
      </w:r>
      <w:r>
        <w:rPr>
          <w:rFonts w:ascii="Arial" w:eastAsia="Times New Roman" w:hAnsi="Arial" w:cs="Arial"/>
          <w:sz w:val="20"/>
          <w:szCs w:val="20"/>
        </w:rPr>
        <w:t xml:space="preserve"> </w:t>
      </w:r>
      <w:r w:rsidRPr="002722B1">
        <w:rPr>
          <w:rFonts w:ascii="Arial" w:eastAsia="Times New Roman" w:hAnsi="Arial" w:cs="Arial"/>
          <w:sz w:val="20"/>
          <w:szCs w:val="20"/>
        </w:rPr>
        <w:t>- Tier 1 risk-based capital ratio of 11.89% and</w:t>
      </w:r>
      <w:r>
        <w:rPr>
          <w:rFonts w:ascii="Arial" w:eastAsia="Times New Roman" w:hAnsi="Arial" w:cs="Arial"/>
          <w:sz w:val="20"/>
          <w:szCs w:val="20"/>
        </w:rPr>
        <w:t xml:space="preserve"> </w:t>
      </w:r>
      <w:r w:rsidRPr="002722B1">
        <w:rPr>
          <w:rFonts w:ascii="Arial" w:eastAsia="Times New Roman" w:hAnsi="Arial" w:cs="Arial"/>
          <w:sz w:val="20"/>
          <w:szCs w:val="20"/>
        </w:rPr>
        <w:t>10.70%.</w:t>
      </w:r>
      <w:r>
        <w:rPr>
          <w:rFonts w:ascii="Arial" w:eastAsia="Times New Roman" w:hAnsi="Arial" w:cs="Arial"/>
          <w:sz w:val="20"/>
          <w:szCs w:val="20"/>
        </w:rPr>
        <w:t xml:space="preserve"> </w:t>
      </w:r>
      <w:r w:rsidRPr="002722B1">
        <w:rPr>
          <w:rFonts w:ascii="Arial" w:eastAsia="Times New Roman" w:hAnsi="Arial" w:cs="Arial"/>
          <w:sz w:val="20"/>
          <w:szCs w:val="20"/>
        </w:rPr>
        <w:t>- Total risk-based capital ratio of 12.64% and</w:t>
      </w:r>
      <w:r>
        <w:rPr>
          <w:rFonts w:ascii="Arial" w:eastAsia="Times New Roman" w:hAnsi="Arial" w:cs="Arial"/>
          <w:sz w:val="20"/>
          <w:szCs w:val="20"/>
        </w:rPr>
        <w:t xml:space="preserve"> </w:t>
      </w:r>
      <w:r w:rsidRPr="002722B1">
        <w:rPr>
          <w:rFonts w:ascii="Arial" w:eastAsia="Times New Roman" w:hAnsi="Arial" w:cs="Arial"/>
          <w:sz w:val="20"/>
          <w:szCs w:val="20"/>
        </w:rPr>
        <w:t>11.49%. - Tier 1 leverage ratio of 7.45% and 6.43%.</w:t>
      </w:r>
    </w:p>
    <w:p w:rsidR="0024283A" w:rsidRDefault="0024283A" w:rsidP="002722B1">
      <w:pPr>
        <w:rPr>
          <w:rFonts w:ascii="Arial" w:eastAsia="Times New Roman" w:hAnsi="Arial" w:cs="Arial"/>
          <w:sz w:val="20"/>
          <w:szCs w:val="20"/>
        </w:rPr>
      </w:pPr>
    </w:p>
    <w:tbl>
      <w:tblPr>
        <w:tblW w:w="10422" w:type="dxa"/>
        <w:tblLook w:val="04A0" w:firstRow="1" w:lastRow="0" w:firstColumn="1" w:lastColumn="0" w:noHBand="0" w:noVBand="1"/>
      </w:tblPr>
      <w:tblGrid>
        <w:gridCol w:w="3109"/>
        <w:gridCol w:w="1559"/>
        <w:gridCol w:w="1843"/>
        <w:gridCol w:w="885"/>
        <w:gridCol w:w="1241"/>
        <w:gridCol w:w="1785"/>
      </w:tblGrid>
      <w:tr w:rsidR="0024283A" w:rsidRPr="0024283A" w:rsidTr="0024283A">
        <w:trPr>
          <w:trHeight w:val="330"/>
        </w:trPr>
        <w:tc>
          <w:tcPr>
            <w:tcW w:w="3109"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24283A" w:rsidRPr="0024283A" w:rsidRDefault="0024283A" w:rsidP="0024283A">
            <w:pPr>
              <w:spacing w:after="0" w:line="240" w:lineRule="auto"/>
              <w:rPr>
                <w:rFonts w:ascii="Times New Roman" w:eastAsia="Times New Roman" w:hAnsi="Times New Roman" w:cs="Times New Roman"/>
                <w:b/>
                <w:bCs/>
                <w:i/>
                <w:iCs/>
                <w:color w:val="000000"/>
                <w:sz w:val="24"/>
                <w:szCs w:val="24"/>
                <w:u w:val="single"/>
              </w:rPr>
            </w:pP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24283A" w:rsidRPr="0024283A" w:rsidRDefault="0024283A" w:rsidP="0024283A">
            <w:pPr>
              <w:spacing w:after="0" w:line="240" w:lineRule="auto"/>
              <w:jc w:val="center"/>
              <w:rPr>
                <w:rFonts w:ascii="Times New Roman" w:eastAsia="Times New Roman" w:hAnsi="Times New Roman" w:cs="Times New Roman"/>
                <w:b/>
                <w:bCs/>
                <w:color w:val="000000"/>
                <w:sz w:val="24"/>
                <w:szCs w:val="24"/>
                <w:u w:val="single"/>
              </w:rPr>
            </w:pPr>
            <w:r w:rsidRPr="0024283A">
              <w:rPr>
                <w:rFonts w:ascii="Times New Roman" w:eastAsia="Times New Roman" w:hAnsi="Times New Roman" w:cs="Times New Roman"/>
                <w:b/>
                <w:bCs/>
                <w:color w:val="000000"/>
                <w:sz w:val="24"/>
                <w:szCs w:val="24"/>
                <w:u w:val="single"/>
              </w:rPr>
              <w:t>2020</w:t>
            </w:r>
          </w:p>
        </w:tc>
        <w:tc>
          <w:tcPr>
            <w:tcW w:w="1843" w:type="dxa"/>
            <w:tcBorders>
              <w:top w:val="single" w:sz="4" w:space="0" w:color="auto"/>
              <w:left w:val="nil"/>
              <w:bottom w:val="single" w:sz="8" w:space="0" w:color="auto"/>
              <w:right w:val="single" w:sz="8" w:space="0" w:color="auto"/>
            </w:tcBorders>
            <w:shd w:val="clear" w:color="auto" w:fill="auto"/>
            <w:noWrap/>
            <w:vAlign w:val="center"/>
            <w:hideMark/>
          </w:tcPr>
          <w:p w:rsidR="0024283A" w:rsidRPr="0024283A" w:rsidRDefault="0024283A" w:rsidP="0024283A">
            <w:pPr>
              <w:spacing w:after="0" w:line="240" w:lineRule="auto"/>
              <w:jc w:val="center"/>
              <w:rPr>
                <w:rFonts w:ascii="Times New Roman" w:eastAsia="Times New Roman" w:hAnsi="Times New Roman" w:cs="Times New Roman"/>
                <w:b/>
                <w:bCs/>
                <w:color w:val="000000"/>
                <w:sz w:val="24"/>
                <w:szCs w:val="24"/>
                <w:u w:val="single"/>
              </w:rPr>
            </w:pPr>
            <w:r w:rsidRPr="0024283A">
              <w:rPr>
                <w:rFonts w:ascii="Times New Roman" w:eastAsia="Times New Roman" w:hAnsi="Times New Roman" w:cs="Times New Roman"/>
                <w:b/>
                <w:bCs/>
                <w:color w:val="000000"/>
                <w:sz w:val="24"/>
                <w:szCs w:val="24"/>
                <w:u w:val="single"/>
              </w:rPr>
              <w:t>2019</w:t>
            </w:r>
          </w:p>
        </w:tc>
        <w:tc>
          <w:tcPr>
            <w:tcW w:w="885" w:type="dxa"/>
            <w:tcBorders>
              <w:top w:val="single" w:sz="4" w:space="0" w:color="auto"/>
              <w:left w:val="nil"/>
              <w:bottom w:val="single" w:sz="8" w:space="0" w:color="auto"/>
              <w:right w:val="single" w:sz="8" w:space="0" w:color="auto"/>
            </w:tcBorders>
            <w:shd w:val="clear" w:color="auto" w:fill="auto"/>
            <w:noWrap/>
            <w:vAlign w:val="center"/>
            <w:hideMark/>
          </w:tcPr>
          <w:p w:rsidR="0024283A" w:rsidRPr="0024283A" w:rsidRDefault="0024283A" w:rsidP="0024283A">
            <w:pPr>
              <w:spacing w:after="0" w:line="240" w:lineRule="auto"/>
              <w:jc w:val="center"/>
              <w:rPr>
                <w:rFonts w:ascii="Times New Roman" w:eastAsia="Times New Roman" w:hAnsi="Times New Roman" w:cs="Times New Roman"/>
                <w:b/>
                <w:bCs/>
                <w:color w:val="000000"/>
                <w:sz w:val="24"/>
                <w:szCs w:val="24"/>
                <w:u w:val="single"/>
              </w:rPr>
            </w:pPr>
            <w:r w:rsidRPr="0024283A">
              <w:rPr>
                <w:rFonts w:ascii="Times New Roman" w:eastAsia="Times New Roman" w:hAnsi="Times New Roman" w:cs="Times New Roman"/>
                <w:b/>
                <w:bCs/>
                <w:color w:val="000000"/>
                <w:sz w:val="24"/>
                <w:szCs w:val="24"/>
                <w:u w:val="single"/>
              </w:rPr>
              <w:t>2018</w:t>
            </w:r>
          </w:p>
        </w:tc>
        <w:tc>
          <w:tcPr>
            <w:tcW w:w="1241" w:type="dxa"/>
            <w:tcBorders>
              <w:top w:val="single" w:sz="4" w:space="0" w:color="auto"/>
              <w:left w:val="nil"/>
              <w:bottom w:val="single" w:sz="8" w:space="0" w:color="auto"/>
              <w:right w:val="single" w:sz="4" w:space="0" w:color="auto"/>
            </w:tcBorders>
            <w:shd w:val="clear" w:color="auto" w:fill="auto"/>
            <w:noWrap/>
            <w:vAlign w:val="center"/>
            <w:hideMark/>
          </w:tcPr>
          <w:p w:rsidR="0024283A" w:rsidRPr="0024283A" w:rsidRDefault="0024283A" w:rsidP="0024283A">
            <w:pPr>
              <w:spacing w:after="0" w:line="240" w:lineRule="auto"/>
              <w:jc w:val="center"/>
              <w:rPr>
                <w:rFonts w:ascii="Times New Roman" w:eastAsia="Times New Roman" w:hAnsi="Times New Roman" w:cs="Times New Roman"/>
                <w:b/>
                <w:bCs/>
                <w:color w:val="000000"/>
                <w:sz w:val="24"/>
                <w:szCs w:val="24"/>
                <w:u w:val="single"/>
              </w:rPr>
            </w:pPr>
            <w:r w:rsidRPr="0024283A">
              <w:rPr>
                <w:rFonts w:ascii="Times New Roman" w:eastAsia="Times New Roman" w:hAnsi="Times New Roman" w:cs="Times New Roman"/>
                <w:b/>
                <w:bCs/>
                <w:color w:val="000000"/>
                <w:sz w:val="24"/>
                <w:szCs w:val="24"/>
                <w:u w:val="single"/>
              </w:rPr>
              <w:t>2017</w:t>
            </w:r>
          </w:p>
        </w:tc>
        <w:tc>
          <w:tcPr>
            <w:tcW w:w="1785" w:type="dxa"/>
            <w:tcBorders>
              <w:top w:val="single" w:sz="4" w:space="0" w:color="auto"/>
              <w:left w:val="single" w:sz="4" w:space="0" w:color="auto"/>
              <w:bottom w:val="single" w:sz="8" w:space="0" w:color="auto"/>
              <w:right w:val="single" w:sz="4" w:space="0" w:color="auto"/>
            </w:tcBorders>
            <w:shd w:val="clear" w:color="auto" w:fill="auto"/>
            <w:vAlign w:val="center"/>
          </w:tcPr>
          <w:p w:rsidR="0024283A" w:rsidRPr="0024283A" w:rsidRDefault="0024283A" w:rsidP="0024283A">
            <w:pP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2016</w:t>
            </w:r>
          </w:p>
        </w:tc>
      </w:tr>
      <w:tr w:rsidR="0024283A" w:rsidRPr="0024283A" w:rsidTr="0024283A">
        <w:trPr>
          <w:trHeight w:val="330"/>
        </w:trPr>
        <w:tc>
          <w:tcPr>
            <w:tcW w:w="3109" w:type="dxa"/>
            <w:tcBorders>
              <w:top w:val="nil"/>
              <w:left w:val="single" w:sz="8" w:space="0" w:color="auto"/>
              <w:bottom w:val="single" w:sz="8" w:space="0" w:color="auto"/>
              <w:right w:val="single" w:sz="8" w:space="0" w:color="auto"/>
            </w:tcBorders>
            <w:shd w:val="clear" w:color="auto" w:fill="auto"/>
            <w:noWrap/>
            <w:vAlign w:val="center"/>
            <w:hideMark/>
          </w:tcPr>
          <w:p w:rsidR="0024283A" w:rsidRPr="0024283A" w:rsidRDefault="0024283A" w:rsidP="0024283A">
            <w:pPr>
              <w:spacing w:after="0" w:line="240" w:lineRule="auto"/>
              <w:jc w:val="center"/>
              <w:rPr>
                <w:rFonts w:ascii="Times New Roman" w:eastAsia="Times New Roman" w:hAnsi="Times New Roman" w:cs="Times New Roman"/>
                <w:color w:val="000000"/>
                <w:sz w:val="24"/>
                <w:szCs w:val="24"/>
              </w:rPr>
            </w:pPr>
            <w:r w:rsidRPr="0024283A">
              <w:rPr>
                <w:rFonts w:ascii="Times New Roman" w:eastAsia="Times New Roman" w:hAnsi="Times New Roman" w:cs="Times New Roman"/>
                <w:color w:val="000000"/>
                <w:sz w:val="24"/>
                <w:szCs w:val="24"/>
              </w:rPr>
              <w:t>ROE</w:t>
            </w:r>
          </w:p>
        </w:tc>
        <w:tc>
          <w:tcPr>
            <w:tcW w:w="1559" w:type="dxa"/>
            <w:tcBorders>
              <w:top w:val="nil"/>
              <w:left w:val="nil"/>
              <w:bottom w:val="single" w:sz="8" w:space="0" w:color="auto"/>
              <w:right w:val="single" w:sz="8" w:space="0" w:color="auto"/>
            </w:tcBorders>
            <w:shd w:val="clear" w:color="auto" w:fill="auto"/>
            <w:noWrap/>
            <w:vAlign w:val="center"/>
            <w:hideMark/>
          </w:tcPr>
          <w:p w:rsidR="0024283A" w:rsidRPr="0024283A" w:rsidRDefault="0024283A" w:rsidP="0024283A">
            <w:pPr>
              <w:spacing w:after="0" w:line="240" w:lineRule="auto"/>
              <w:jc w:val="right"/>
              <w:rPr>
                <w:rFonts w:ascii="Calibri" w:eastAsia="Times New Roman" w:hAnsi="Calibri" w:cs="Calibri"/>
                <w:color w:val="000000"/>
                <w:sz w:val="24"/>
                <w:szCs w:val="24"/>
              </w:rPr>
            </w:pPr>
            <w:r w:rsidRPr="0024283A">
              <w:rPr>
                <w:rFonts w:ascii="Calibri" w:eastAsia="Times New Roman" w:hAnsi="Calibri" w:cs="Calibri"/>
                <w:color w:val="000000"/>
                <w:sz w:val="24"/>
                <w:szCs w:val="24"/>
              </w:rPr>
              <w:t>0.1683</w:t>
            </w:r>
          </w:p>
        </w:tc>
        <w:tc>
          <w:tcPr>
            <w:tcW w:w="1843" w:type="dxa"/>
            <w:tcBorders>
              <w:top w:val="nil"/>
              <w:left w:val="nil"/>
              <w:bottom w:val="single" w:sz="8" w:space="0" w:color="auto"/>
              <w:right w:val="single" w:sz="8" w:space="0" w:color="auto"/>
            </w:tcBorders>
            <w:shd w:val="clear" w:color="auto" w:fill="auto"/>
            <w:noWrap/>
            <w:vAlign w:val="center"/>
            <w:hideMark/>
          </w:tcPr>
          <w:p w:rsidR="0024283A" w:rsidRPr="0024283A" w:rsidRDefault="0024283A" w:rsidP="0024283A">
            <w:pPr>
              <w:spacing w:after="0" w:line="240" w:lineRule="auto"/>
              <w:jc w:val="right"/>
              <w:rPr>
                <w:rFonts w:ascii="Calibri" w:eastAsia="Times New Roman" w:hAnsi="Calibri" w:cs="Calibri"/>
                <w:color w:val="000000"/>
                <w:sz w:val="24"/>
                <w:szCs w:val="24"/>
              </w:rPr>
            </w:pPr>
            <w:r w:rsidRPr="0024283A">
              <w:rPr>
                <w:rFonts w:ascii="Calibri" w:eastAsia="Times New Roman" w:hAnsi="Calibri" w:cs="Calibri"/>
                <w:color w:val="000000"/>
                <w:sz w:val="24"/>
                <w:szCs w:val="24"/>
              </w:rPr>
              <w:t>0.2003</w:t>
            </w:r>
          </w:p>
        </w:tc>
        <w:tc>
          <w:tcPr>
            <w:tcW w:w="885" w:type="dxa"/>
            <w:tcBorders>
              <w:top w:val="nil"/>
              <w:left w:val="nil"/>
              <w:bottom w:val="single" w:sz="8" w:space="0" w:color="auto"/>
              <w:right w:val="single" w:sz="8" w:space="0" w:color="auto"/>
            </w:tcBorders>
            <w:shd w:val="clear" w:color="auto" w:fill="auto"/>
            <w:noWrap/>
            <w:vAlign w:val="center"/>
            <w:hideMark/>
          </w:tcPr>
          <w:p w:rsidR="0024283A" w:rsidRPr="0024283A" w:rsidRDefault="0024283A" w:rsidP="0024283A">
            <w:pPr>
              <w:spacing w:after="0" w:line="240" w:lineRule="auto"/>
              <w:jc w:val="right"/>
              <w:rPr>
                <w:rFonts w:ascii="Calibri" w:eastAsia="Times New Roman" w:hAnsi="Calibri" w:cs="Calibri"/>
                <w:color w:val="000000"/>
                <w:sz w:val="24"/>
                <w:szCs w:val="24"/>
              </w:rPr>
            </w:pPr>
            <w:r w:rsidRPr="0024283A">
              <w:rPr>
                <w:rFonts w:ascii="Calibri" w:eastAsia="Times New Roman" w:hAnsi="Calibri" w:cs="Calibri"/>
                <w:color w:val="000000"/>
                <w:sz w:val="24"/>
                <w:szCs w:val="24"/>
              </w:rPr>
              <w:t>0.2057</w:t>
            </w:r>
          </w:p>
        </w:tc>
        <w:tc>
          <w:tcPr>
            <w:tcW w:w="1241" w:type="dxa"/>
            <w:tcBorders>
              <w:top w:val="nil"/>
              <w:left w:val="nil"/>
              <w:bottom w:val="single" w:sz="8" w:space="0" w:color="auto"/>
              <w:right w:val="single" w:sz="4" w:space="0" w:color="auto"/>
            </w:tcBorders>
            <w:shd w:val="clear" w:color="auto" w:fill="auto"/>
            <w:noWrap/>
            <w:vAlign w:val="center"/>
            <w:hideMark/>
          </w:tcPr>
          <w:p w:rsidR="0024283A" w:rsidRPr="0024283A" w:rsidRDefault="0024283A" w:rsidP="0024283A">
            <w:pPr>
              <w:spacing w:after="0" w:line="240" w:lineRule="auto"/>
              <w:jc w:val="right"/>
              <w:rPr>
                <w:rFonts w:ascii="Calibri" w:eastAsia="Times New Roman" w:hAnsi="Calibri" w:cs="Calibri"/>
                <w:color w:val="000000"/>
                <w:sz w:val="24"/>
                <w:szCs w:val="24"/>
              </w:rPr>
            </w:pPr>
            <w:r w:rsidRPr="0024283A">
              <w:rPr>
                <w:rFonts w:ascii="Calibri" w:eastAsia="Times New Roman" w:hAnsi="Calibri" w:cs="Calibri"/>
                <w:color w:val="000000"/>
                <w:sz w:val="24"/>
                <w:szCs w:val="24"/>
              </w:rPr>
              <w:t>0.1238</w:t>
            </w:r>
          </w:p>
        </w:tc>
        <w:tc>
          <w:tcPr>
            <w:tcW w:w="1785" w:type="dxa"/>
            <w:tcBorders>
              <w:top w:val="nil"/>
              <w:left w:val="single" w:sz="4" w:space="0" w:color="auto"/>
              <w:bottom w:val="single" w:sz="8" w:space="0" w:color="auto"/>
              <w:right w:val="single" w:sz="4" w:space="0" w:color="auto"/>
            </w:tcBorders>
            <w:shd w:val="clear" w:color="auto" w:fill="auto"/>
            <w:vAlign w:val="center"/>
          </w:tcPr>
          <w:p w:rsidR="0024283A" w:rsidRPr="0024283A" w:rsidRDefault="0024283A" w:rsidP="0024283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0.109</w:t>
            </w:r>
          </w:p>
        </w:tc>
      </w:tr>
      <w:tr w:rsidR="0024283A" w:rsidRPr="0024283A" w:rsidTr="00472284">
        <w:trPr>
          <w:trHeight w:val="330"/>
        </w:trPr>
        <w:tc>
          <w:tcPr>
            <w:tcW w:w="3109" w:type="dxa"/>
            <w:tcBorders>
              <w:top w:val="nil"/>
              <w:left w:val="single" w:sz="8" w:space="0" w:color="auto"/>
              <w:bottom w:val="nil"/>
              <w:right w:val="single" w:sz="8" w:space="0" w:color="auto"/>
            </w:tcBorders>
            <w:shd w:val="clear" w:color="auto" w:fill="auto"/>
            <w:noWrap/>
            <w:vAlign w:val="center"/>
            <w:hideMark/>
          </w:tcPr>
          <w:p w:rsidR="0024283A" w:rsidRPr="0024283A" w:rsidRDefault="0024283A" w:rsidP="0024283A">
            <w:pPr>
              <w:spacing w:after="0" w:line="240" w:lineRule="auto"/>
              <w:jc w:val="center"/>
              <w:rPr>
                <w:rFonts w:ascii="Times New Roman" w:eastAsia="Times New Roman" w:hAnsi="Times New Roman" w:cs="Times New Roman"/>
                <w:color w:val="000000"/>
                <w:sz w:val="24"/>
                <w:szCs w:val="24"/>
              </w:rPr>
            </w:pPr>
            <w:r w:rsidRPr="0024283A">
              <w:rPr>
                <w:rFonts w:ascii="Times New Roman" w:eastAsia="Times New Roman" w:hAnsi="Times New Roman" w:cs="Times New Roman"/>
                <w:color w:val="000000"/>
                <w:sz w:val="24"/>
                <w:szCs w:val="24"/>
              </w:rPr>
              <w:t>ROA</w:t>
            </w:r>
          </w:p>
        </w:tc>
        <w:tc>
          <w:tcPr>
            <w:tcW w:w="1559" w:type="dxa"/>
            <w:tcBorders>
              <w:top w:val="nil"/>
              <w:left w:val="nil"/>
              <w:bottom w:val="nil"/>
              <w:right w:val="single" w:sz="8" w:space="0" w:color="auto"/>
            </w:tcBorders>
            <w:shd w:val="clear" w:color="auto" w:fill="auto"/>
            <w:noWrap/>
            <w:vAlign w:val="center"/>
            <w:hideMark/>
          </w:tcPr>
          <w:p w:rsidR="0024283A" w:rsidRPr="0024283A" w:rsidRDefault="0024283A" w:rsidP="0024283A">
            <w:pPr>
              <w:spacing w:after="0" w:line="240" w:lineRule="auto"/>
              <w:jc w:val="center"/>
              <w:rPr>
                <w:rFonts w:ascii="Times New Roman" w:eastAsia="Times New Roman" w:hAnsi="Times New Roman" w:cs="Times New Roman"/>
                <w:color w:val="000000"/>
                <w:sz w:val="24"/>
                <w:szCs w:val="24"/>
              </w:rPr>
            </w:pPr>
            <w:r w:rsidRPr="0024283A">
              <w:rPr>
                <w:rFonts w:ascii="Times New Roman" w:eastAsia="Times New Roman" w:hAnsi="Times New Roman" w:cs="Times New Roman"/>
                <w:color w:val="000000"/>
                <w:sz w:val="24"/>
                <w:szCs w:val="24"/>
              </w:rPr>
              <w:t>1.39%</w:t>
            </w:r>
          </w:p>
        </w:tc>
        <w:tc>
          <w:tcPr>
            <w:tcW w:w="1843" w:type="dxa"/>
            <w:tcBorders>
              <w:top w:val="nil"/>
              <w:left w:val="nil"/>
              <w:bottom w:val="nil"/>
              <w:right w:val="single" w:sz="8" w:space="0" w:color="auto"/>
            </w:tcBorders>
            <w:shd w:val="clear" w:color="auto" w:fill="auto"/>
            <w:noWrap/>
            <w:vAlign w:val="center"/>
            <w:hideMark/>
          </w:tcPr>
          <w:p w:rsidR="0024283A" w:rsidRPr="0024283A" w:rsidRDefault="0024283A" w:rsidP="0024283A">
            <w:pPr>
              <w:spacing w:after="0" w:line="240" w:lineRule="auto"/>
              <w:jc w:val="center"/>
              <w:rPr>
                <w:rFonts w:ascii="Times New Roman" w:eastAsia="Times New Roman" w:hAnsi="Times New Roman" w:cs="Times New Roman"/>
                <w:color w:val="000000"/>
                <w:sz w:val="24"/>
                <w:szCs w:val="24"/>
              </w:rPr>
            </w:pPr>
            <w:r w:rsidRPr="0024283A">
              <w:rPr>
                <w:rFonts w:ascii="Times New Roman" w:eastAsia="Times New Roman" w:hAnsi="Times New Roman" w:cs="Times New Roman"/>
                <w:color w:val="000000"/>
                <w:sz w:val="24"/>
                <w:szCs w:val="24"/>
              </w:rPr>
              <w:t>1.80%</w:t>
            </w:r>
          </w:p>
        </w:tc>
        <w:tc>
          <w:tcPr>
            <w:tcW w:w="885" w:type="dxa"/>
            <w:tcBorders>
              <w:top w:val="nil"/>
              <w:left w:val="nil"/>
              <w:bottom w:val="nil"/>
              <w:right w:val="single" w:sz="8" w:space="0" w:color="auto"/>
            </w:tcBorders>
            <w:shd w:val="clear" w:color="auto" w:fill="auto"/>
            <w:noWrap/>
            <w:vAlign w:val="center"/>
            <w:hideMark/>
          </w:tcPr>
          <w:p w:rsidR="0024283A" w:rsidRPr="0024283A" w:rsidRDefault="0024283A" w:rsidP="0024283A">
            <w:pPr>
              <w:spacing w:after="0" w:line="240" w:lineRule="auto"/>
              <w:jc w:val="center"/>
              <w:rPr>
                <w:rFonts w:ascii="Times New Roman" w:eastAsia="Times New Roman" w:hAnsi="Times New Roman" w:cs="Times New Roman"/>
                <w:color w:val="000000"/>
                <w:sz w:val="24"/>
                <w:szCs w:val="24"/>
              </w:rPr>
            </w:pPr>
            <w:r w:rsidRPr="0024283A">
              <w:rPr>
                <w:rFonts w:ascii="Times New Roman" w:eastAsia="Times New Roman" w:hAnsi="Times New Roman" w:cs="Times New Roman"/>
                <w:color w:val="000000"/>
                <w:sz w:val="24"/>
                <w:szCs w:val="24"/>
              </w:rPr>
              <w:t>1.76%</w:t>
            </w:r>
          </w:p>
        </w:tc>
        <w:tc>
          <w:tcPr>
            <w:tcW w:w="1241" w:type="dxa"/>
            <w:tcBorders>
              <w:top w:val="nil"/>
              <w:left w:val="nil"/>
              <w:bottom w:val="nil"/>
              <w:right w:val="single" w:sz="4" w:space="0" w:color="auto"/>
            </w:tcBorders>
            <w:shd w:val="clear" w:color="auto" w:fill="auto"/>
            <w:noWrap/>
            <w:vAlign w:val="center"/>
            <w:hideMark/>
          </w:tcPr>
          <w:p w:rsidR="0024283A" w:rsidRPr="0024283A" w:rsidRDefault="0024283A" w:rsidP="0024283A">
            <w:pPr>
              <w:spacing w:after="0" w:line="240" w:lineRule="auto"/>
              <w:jc w:val="center"/>
              <w:rPr>
                <w:rFonts w:ascii="Times New Roman" w:eastAsia="Times New Roman" w:hAnsi="Times New Roman" w:cs="Times New Roman"/>
                <w:color w:val="000000"/>
                <w:sz w:val="24"/>
                <w:szCs w:val="24"/>
              </w:rPr>
            </w:pPr>
            <w:r w:rsidRPr="0024283A">
              <w:rPr>
                <w:rFonts w:ascii="Times New Roman" w:eastAsia="Times New Roman" w:hAnsi="Times New Roman" w:cs="Times New Roman"/>
                <w:color w:val="000000"/>
                <w:sz w:val="24"/>
                <w:szCs w:val="24"/>
              </w:rPr>
              <w:t>1.01%</w:t>
            </w:r>
          </w:p>
        </w:tc>
        <w:tc>
          <w:tcPr>
            <w:tcW w:w="1785" w:type="dxa"/>
            <w:tcBorders>
              <w:top w:val="nil"/>
              <w:left w:val="single" w:sz="4" w:space="0" w:color="auto"/>
              <w:bottom w:val="nil"/>
              <w:right w:val="single" w:sz="4" w:space="0" w:color="auto"/>
            </w:tcBorders>
            <w:shd w:val="clear" w:color="auto" w:fill="auto"/>
            <w:vAlign w:val="center"/>
          </w:tcPr>
          <w:p w:rsidR="0024283A" w:rsidRPr="0024283A" w:rsidRDefault="0024283A" w:rsidP="0024283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0.87%</w:t>
            </w:r>
          </w:p>
        </w:tc>
      </w:tr>
      <w:tr w:rsidR="00472284" w:rsidRPr="0024283A" w:rsidTr="0024283A">
        <w:trPr>
          <w:trHeight w:val="330"/>
        </w:trPr>
        <w:tc>
          <w:tcPr>
            <w:tcW w:w="3109" w:type="dxa"/>
            <w:tcBorders>
              <w:top w:val="nil"/>
              <w:left w:val="single" w:sz="8" w:space="0" w:color="auto"/>
              <w:bottom w:val="single" w:sz="8" w:space="0" w:color="auto"/>
              <w:right w:val="single" w:sz="8" w:space="0" w:color="auto"/>
            </w:tcBorders>
            <w:shd w:val="clear" w:color="auto" w:fill="auto"/>
            <w:noWrap/>
            <w:vAlign w:val="center"/>
          </w:tcPr>
          <w:p w:rsidR="00472284" w:rsidRPr="0024283A" w:rsidRDefault="00472284" w:rsidP="00472284">
            <w:pPr>
              <w:spacing w:after="0" w:line="240" w:lineRule="auto"/>
              <w:rPr>
                <w:rFonts w:ascii="Times New Roman" w:eastAsia="Times New Roman" w:hAnsi="Times New Roman" w:cs="Times New Roman"/>
                <w:color w:val="000000"/>
                <w:sz w:val="24"/>
                <w:szCs w:val="24"/>
              </w:rPr>
            </w:pPr>
          </w:p>
        </w:tc>
        <w:tc>
          <w:tcPr>
            <w:tcW w:w="1559" w:type="dxa"/>
            <w:tcBorders>
              <w:top w:val="nil"/>
              <w:left w:val="nil"/>
              <w:bottom w:val="single" w:sz="8" w:space="0" w:color="auto"/>
              <w:right w:val="single" w:sz="8" w:space="0" w:color="auto"/>
            </w:tcBorders>
            <w:shd w:val="clear" w:color="auto" w:fill="auto"/>
            <w:noWrap/>
            <w:vAlign w:val="center"/>
          </w:tcPr>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885" w:type="dxa"/>
            <w:tcBorders>
              <w:top w:val="nil"/>
              <w:left w:val="nil"/>
              <w:bottom w:val="single" w:sz="8" w:space="0" w:color="auto"/>
              <w:right w:val="single" w:sz="8" w:space="0" w:color="auto"/>
            </w:tcBorders>
            <w:shd w:val="clear" w:color="auto" w:fill="auto"/>
            <w:noWrap/>
            <w:vAlign w:val="center"/>
          </w:tcPr>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1241" w:type="dxa"/>
            <w:tcBorders>
              <w:top w:val="nil"/>
              <w:left w:val="nil"/>
              <w:bottom w:val="single" w:sz="8" w:space="0" w:color="auto"/>
              <w:right w:val="single" w:sz="4" w:space="0" w:color="auto"/>
            </w:tcBorders>
            <w:shd w:val="clear" w:color="auto" w:fill="auto"/>
            <w:noWrap/>
            <w:vAlign w:val="center"/>
          </w:tcPr>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1785" w:type="dxa"/>
            <w:tcBorders>
              <w:top w:val="nil"/>
              <w:left w:val="single" w:sz="4" w:space="0" w:color="auto"/>
              <w:bottom w:val="single" w:sz="8" w:space="0" w:color="auto"/>
              <w:right w:val="single" w:sz="4" w:space="0" w:color="auto"/>
            </w:tcBorders>
            <w:shd w:val="clear" w:color="auto" w:fill="auto"/>
            <w:vAlign w:val="center"/>
          </w:tcPr>
          <w:p w:rsidR="00472284" w:rsidRDefault="00472284" w:rsidP="0024283A">
            <w:pPr>
              <w:spacing w:after="0" w:line="240" w:lineRule="auto"/>
              <w:jc w:val="center"/>
              <w:rPr>
                <w:rFonts w:ascii="Times New Roman" w:eastAsia="Times New Roman" w:hAnsi="Times New Roman" w:cs="Times New Roman"/>
                <w:color w:val="000000"/>
                <w:sz w:val="24"/>
                <w:szCs w:val="24"/>
              </w:rPr>
            </w:pPr>
          </w:p>
        </w:tc>
      </w:tr>
      <w:tr w:rsidR="00472284" w:rsidRPr="0024283A" w:rsidTr="0024283A">
        <w:trPr>
          <w:trHeight w:val="330"/>
        </w:trPr>
        <w:tc>
          <w:tcPr>
            <w:tcW w:w="3109" w:type="dxa"/>
            <w:tcBorders>
              <w:top w:val="nil"/>
              <w:left w:val="single" w:sz="8" w:space="0" w:color="auto"/>
              <w:bottom w:val="single" w:sz="8" w:space="0" w:color="auto"/>
              <w:right w:val="single" w:sz="8" w:space="0" w:color="auto"/>
            </w:tcBorders>
            <w:shd w:val="clear" w:color="auto" w:fill="auto"/>
            <w:noWrap/>
            <w:vAlign w:val="center"/>
          </w:tcPr>
          <w:p w:rsidR="00472284" w:rsidRPr="00472284" w:rsidRDefault="00472284" w:rsidP="00472284">
            <w:pPr>
              <w:jc w:val="center"/>
              <w:rPr>
                <w:rFonts w:ascii="Arial" w:hAnsi="Arial" w:cs="Arial"/>
                <w:sz w:val="20"/>
                <w:szCs w:val="20"/>
              </w:rPr>
            </w:pPr>
            <w:r>
              <w:rPr>
                <w:rFonts w:ascii="Arial" w:hAnsi="Arial" w:cs="Arial"/>
                <w:sz w:val="20"/>
                <w:szCs w:val="20"/>
              </w:rPr>
              <w:t>Earnings per common share-basic</w:t>
            </w:r>
          </w:p>
        </w:tc>
        <w:tc>
          <w:tcPr>
            <w:tcW w:w="1559" w:type="dxa"/>
            <w:tcBorders>
              <w:top w:val="nil"/>
              <w:left w:val="nil"/>
              <w:bottom w:val="single" w:sz="8" w:space="0" w:color="auto"/>
              <w:right w:val="single" w:sz="8" w:space="0" w:color="auto"/>
            </w:tcBorders>
            <w:shd w:val="clear" w:color="auto" w:fill="auto"/>
            <w:noWrap/>
            <w:vAlign w:val="center"/>
          </w:tcPr>
          <w:p w:rsidR="00472284" w:rsidRDefault="00472284" w:rsidP="00472284">
            <w:pPr>
              <w:jc w:val="center"/>
              <w:rPr>
                <w:rFonts w:ascii="Arial" w:hAnsi="Arial" w:cs="Arial"/>
                <w:sz w:val="20"/>
                <w:szCs w:val="20"/>
              </w:rPr>
            </w:pPr>
            <w:r>
              <w:rPr>
                <w:rFonts w:ascii="Arial" w:hAnsi="Arial" w:cs="Arial"/>
                <w:sz w:val="20"/>
                <w:szCs w:val="20"/>
              </w:rPr>
              <w:t xml:space="preserve">$                  23.05 </w:t>
            </w:r>
          </w:p>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472284" w:rsidRDefault="00472284" w:rsidP="00472284">
            <w:pPr>
              <w:jc w:val="center"/>
              <w:rPr>
                <w:rFonts w:ascii="Arial" w:hAnsi="Arial" w:cs="Arial"/>
                <w:sz w:val="20"/>
                <w:szCs w:val="20"/>
              </w:rPr>
            </w:pPr>
            <w:r>
              <w:rPr>
                <w:rFonts w:ascii="Arial" w:hAnsi="Arial" w:cs="Arial"/>
                <w:sz w:val="20"/>
                <w:szCs w:val="20"/>
              </w:rPr>
              <w:t xml:space="preserve">$                                     21.90 </w:t>
            </w:r>
          </w:p>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885" w:type="dxa"/>
            <w:tcBorders>
              <w:top w:val="nil"/>
              <w:left w:val="nil"/>
              <w:bottom w:val="single" w:sz="8" w:space="0" w:color="auto"/>
              <w:right w:val="single" w:sz="8" w:space="0" w:color="auto"/>
            </w:tcBorders>
            <w:shd w:val="clear" w:color="auto" w:fill="auto"/>
            <w:noWrap/>
            <w:vAlign w:val="center"/>
          </w:tcPr>
          <w:p w:rsidR="00472284" w:rsidRDefault="00472284" w:rsidP="00472284">
            <w:pPr>
              <w:jc w:val="center"/>
              <w:rPr>
                <w:rFonts w:ascii="Arial" w:hAnsi="Arial" w:cs="Arial"/>
                <w:sz w:val="20"/>
                <w:szCs w:val="20"/>
              </w:rPr>
            </w:pPr>
            <w:r>
              <w:rPr>
                <w:rFonts w:ascii="Arial" w:hAnsi="Arial" w:cs="Arial"/>
                <w:sz w:val="20"/>
                <w:szCs w:val="20"/>
              </w:rPr>
              <w:t xml:space="preserve">$                  18.35 </w:t>
            </w:r>
          </w:p>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1241" w:type="dxa"/>
            <w:tcBorders>
              <w:top w:val="nil"/>
              <w:left w:val="nil"/>
              <w:bottom w:val="single" w:sz="8" w:space="0" w:color="auto"/>
              <w:right w:val="single" w:sz="4" w:space="0" w:color="auto"/>
            </w:tcBorders>
            <w:shd w:val="clear" w:color="auto" w:fill="auto"/>
            <w:noWrap/>
            <w:vAlign w:val="center"/>
          </w:tcPr>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1785" w:type="dxa"/>
            <w:tcBorders>
              <w:top w:val="nil"/>
              <w:left w:val="single" w:sz="4" w:space="0" w:color="auto"/>
              <w:bottom w:val="single" w:sz="8" w:space="0" w:color="auto"/>
              <w:right w:val="single" w:sz="4" w:space="0" w:color="auto"/>
            </w:tcBorders>
            <w:shd w:val="clear" w:color="auto" w:fill="auto"/>
            <w:vAlign w:val="center"/>
          </w:tcPr>
          <w:p w:rsidR="00472284" w:rsidRDefault="00472284" w:rsidP="0024283A">
            <w:pPr>
              <w:spacing w:after="0" w:line="240" w:lineRule="auto"/>
              <w:jc w:val="center"/>
              <w:rPr>
                <w:rFonts w:ascii="Times New Roman" w:eastAsia="Times New Roman" w:hAnsi="Times New Roman" w:cs="Times New Roman"/>
                <w:color w:val="000000"/>
                <w:sz w:val="24"/>
                <w:szCs w:val="24"/>
              </w:rPr>
            </w:pPr>
          </w:p>
        </w:tc>
      </w:tr>
      <w:tr w:rsidR="00472284" w:rsidRPr="0024283A" w:rsidTr="0024283A">
        <w:trPr>
          <w:trHeight w:val="330"/>
        </w:trPr>
        <w:tc>
          <w:tcPr>
            <w:tcW w:w="3109" w:type="dxa"/>
            <w:tcBorders>
              <w:top w:val="nil"/>
              <w:left w:val="single" w:sz="8" w:space="0" w:color="auto"/>
              <w:bottom w:val="single" w:sz="8" w:space="0" w:color="auto"/>
              <w:right w:val="single" w:sz="8" w:space="0" w:color="auto"/>
            </w:tcBorders>
            <w:shd w:val="clear" w:color="auto" w:fill="auto"/>
            <w:noWrap/>
            <w:vAlign w:val="center"/>
          </w:tcPr>
          <w:p w:rsidR="00472284" w:rsidRDefault="00472284" w:rsidP="00472284">
            <w:pPr>
              <w:jc w:val="center"/>
              <w:rPr>
                <w:rFonts w:ascii="Arial" w:hAnsi="Arial" w:cs="Arial"/>
                <w:sz w:val="20"/>
                <w:szCs w:val="20"/>
              </w:rPr>
            </w:pPr>
            <w:r>
              <w:rPr>
                <w:rFonts w:ascii="Arial" w:hAnsi="Arial" w:cs="Arial"/>
                <w:sz w:val="20"/>
                <w:szCs w:val="20"/>
              </w:rPr>
              <w:t>Earnings per common share-diluted</w:t>
            </w:r>
          </w:p>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8" w:space="0" w:color="auto"/>
              <w:right w:val="single" w:sz="8" w:space="0" w:color="auto"/>
            </w:tcBorders>
            <w:shd w:val="clear" w:color="auto" w:fill="auto"/>
            <w:noWrap/>
            <w:vAlign w:val="center"/>
          </w:tcPr>
          <w:p w:rsidR="00472284" w:rsidRDefault="00472284" w:rsidP="00472284">
            <w:pPr>
              <w:jc w:val="center"/>
              <w:rPr>
                <w:rFonts w:ascii="Arial" w:hAnsi="Arial" w:cs="Arial"/>
                <w:sz w:val="20"/>
                <w:szCs w:val="20"/>
              </w:rPr>
            </w:pPr>
            <w:r>
              <w:rPr>
                <w:rFonts w:ascii="Arial" w:hAnsi="Arial" w:cs="Arial"/>
                <w:sz w:val="20"/>
                <w:szCs w:val="20"/>
              </w:rPr>
              <w:t>22.87</w:t>
            </w:r>
          </w:p>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472284" w:rsidRDefault="00472284" w:rsidP="00472284">
            <w:pPr>
              <w:jc w:val="center"/>
              <w:rPr>
                <w:rFonts w:ascii="Arial" w:hAnsi="Arial" w:cs="Arial"/>
                <w:sz w:val="20"/>
                <w:szCs w:val="20"/>
              </w:rPr>
            </w:pPr>
            <w:r>
              <w:rPr>
                <w:rFonts w:ascii="Arial" w:hAnsi="Arial" w:cs="Arial"/>
                <w:sz w:val="20"/>
                <w:szCs w:val="20"/>
              </w:rPr>
              <w:t>21.73</w:t>
            </w:r>
          </w:p>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885" w:type="dxa"/>
            <w:tcBorders>
              <w:top w:val="nil"/>
              <w:left w:val="nil"/>
              <w:bottom w:val="single" w:sz="8" w:space="0" w:color="auto"/>
              <w:right w:val="single" w:sz="8" w:space="0" w:color="auto"/>
            </w:tcBorders>
            <w:shd w:val="clear" w:color="auto" w:fill="auto"/>
            <w:noWrap/>
            <w:vAlign w:val="center"/>
          </w:tcPr>
          <w:p w:rsidR="00472284" w:rsidRDefault="00472284" w:rsidP="00472284">
            <w:pPr>
              <w:jc w:val="center"/>
              <w:rPr>
                <w:rFonts w:ascii="Arial" w:hAnsi="Arial" w:cs="Arial"/>
                <w:sz w:val="20"/>
                <w:szCs w:val="20"/>
              </w:rPr>
            </w:pPr>
            <w:r>
              <w:rPr>
                <w:rFonts w:ascii="Arial" w:hAnsi="Arial" w:cs="Arial"/>
                <w:sz w:val="20"/>
                <w:szCs w:val="20"/>
              </w:rPr>
              <w:t>18.11</w:t>
            </w:r>
          </w:p>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1241" w:type="dxa"/>
            <w:tcBorders>
              <w:top w:val="nil"/>
              <w:left w:val="nil"/>
              <w:bottom w:val="single" w:sz="8" w:space="0" w:color="auto"/>
              <w:right w:val="single" w:sz="4" w:space="0" w:color="auto"/>
            </w:tcBorders>
            <w:shd w:val="clear" w:color="auto" w:fill="auto"/>
            <w:noWrap/>
            <w:vAlign w:val="center"/>
          </w:tcPr>
          <w:p w:rsidR="00472284" w:rsidRPr="0024283A" w:rsidRDefault="00472284" w:rsidP="0024283A">
            <w:pPr>
              <w:spacing w:after="0" w:line="240" w:lineRule="auto"/>
              <w:jc w:val="center"/>
              <w:rPr>
                <w:rFonts w:ascii="Times New Roman" w:eastAsia="Times New Roman" w:hAnsi="Times New Roman" w:cs="Times New Roman"/>
                <w:color w:val="000000"/>
                <w:sz w:val="24"/>
                <w:szCs w:val="24"/>
              </w:rPr>
            </w:pPr>
          </w:p>
        </w:tc>
        <w:tc>
          <w:tcPr>
            <w:tcW w:w="1785" w:type="dxa"/>
            <w:tcBorders>
              <w:top w:val="nil"/>
              <w:left w:val="single" w:sz="4" w:space="0" w:color="auto"/>
              <w:bottom w:val="single" w:sz="8" w:space="0" w:color="auto"/>
              <w:right w:val="single" w:sz="4" w:space="0" w:color="auto"/>
            </w:tcBorders>
            <w:shd w:val="clear" w:color="auto" w:fill="auto"/>
            <w:vAlign w:val="center"/>
          </w:tcPr>
          <w:p w:rsidR="00472284" w:rsidRDefault="00472284" w:rsidP="0024283A">
            <w:pPr>
              <w:spacing w:after="0" w:line="240" w:lineRule="auto"/>
              <w:jc w:val="center"/>
              <w:rPr>
                <w:rFonts w:ascii="Times New Roman" w:eastAsia="Times New Roman" w:hAnsi="Times New Roman" w:cs="Times New Roman"/>
                <w:color w:val="000000"/>
                <w:sz w:val="24"/>
                <w:szCs w:val="24"/>
              </w:rPr>
            </w:pPr>
          </w:p>
        </w:tc>
      </w:tr>
    </w:tbl>
    <w:p w:rsidR="0024283A" w:rsidRDefault="0024283A" w:rsidP="002722B1">
      <w:pPr>
        <w:rPr>
          <w:rFonts w:ascii="Arial" w:eastAsia="Times New Roman" w:hAnsi="Arial" w:cs="Arial"/>
          <w:sz w:val="20"/>
          <w:szCs w:val="20"/>
        </w:rPr>
      </w:pPr>
    </w:p>
    <w:p w:rsidR="00472284" w:rsidRPr="00561652" w:rsidRDefault="00472284" w:rsidP="002722B1">
      <w:pPr>
        <w:rPr>
          <w:rFonts w:ascii="Times New Roman" w:eastAsia="Times New Roman" w:hAnsi="Times New Roman" w:cs="Times New Roman"/>
          <w:sz w:val="24"/>
          <w:szCs w:val="24"/>
        </w:rPr>
      </w:pPr>
      <w:r w:rsidRPr="00561652">
        <w:rPr>
          <w:rFonts w:ascii="Times New Roman" w:eastAsia="Times New Roman" w:hAnsi="Times New Roman" w:cs="Times New Roman"/>
          <w:sz w:val="24"/>
          <w:szCs w:val="24"/>
        </w:rPr>
        <w:t>From the ratios above, it is clear the bank has capital adequacy for involvement in trade and provision of the services it provides</w:t>
      </w:r>
      <w:r w:rsidR="008F1270" w:rsidRPr="00561652">
        <w:rPr>
          <w:rFonts w:ascii="Times New Roman" w:eastAsia="Times New Roman" w:hAnsi="Times New Roman" w:cs="Times New Roman"/>
          <w:sz w:val="24"/>
          <w:szCs w:val="24"/>
        </w:rPr>
        <w:t>.</w:t>
      </w:r>
    </w:p>
    <w:p w:rsidR="008F1270" w:rsidRPr="00561652" w:rsidRDefault="008F1270" w:rsidP="002722B1">
      <w:pPr>
        <w:rPr>
          <w:rFonts w:ascii="Times New Roman" w:eastAsia="Times New Roman" w:hAnsi="Times New Roman" w:cs="Times New Roman"/>
          <w:sz w:val="24"/>
          <w:szCs w:val="24"/>
        </w:rPr>
      </w:pPr>
      <w:r w:rsidRPr="00561652">
        <w:rPr>
          <w:rFonts w:ascii="Times New Roman" w:eastAsia="Times New Roman" w:hAnsi="Times New Roman" w:cs="Times New Roman"/>
          <w:sz w:val="24"/>
          <w:szCs w:val="24"/>
        </w:rPr>
        <w:t xml:space="preserve">To attain capital </w:t>
      </w:r>
      <w:r w:rsidR="00A7050E" w:rsidRPr="00561652">
        <w:rPr>
          <w:rFonts w:ascii="Times New Roman" w:eastAsia="Times New Roman" w:hAnsi="Times New Roman" w:cs="Times New Roman"/>
          <w:sz w:val="24"/>
          <w:szCs w:val="24"/>
        </w:rPr>
        <w:t>adequacy,</w:t>
      </w:r>
      <w:r w:rsidRPr="00561652">
        <w:rPr>
          <w:rFonts w:ascii="Times New Roman" w:eastAsia="Times New Roman" w:hAnsi="Times New Roman" w:cs="Times New Roman"/>
          <w:sz w:val="24"/>
          <w:szCs w:val="24"/>
        </w:rPr>
        <w:t xml:space="preserve"> the bank follows stipulations by the central bank and bank regulators. Risk weighted assets take credit risk, operational and market risk into account. Required CRAR should be well above 8%.</w:t>
      </w:r>
      <w:r w:rsidR="0055269C" w:rsidRPr="00561652">
        <w:rPr>
          <w:rFonts w:ascii="Times New Roman" w:eastAsia="Times New Roman" w:hAnsi="Times New Roman" w:cs="Times New Roman"/>
          <w:sz w:val="24"/>
          <w:szCs w:val="24"/>
        </w:rPr>
        <w:t xml:space="preserve"> For first republican bank, it had the below tabulated results:</w:t>
      </w:r>
    </w:p>
    <w:p w:rsidR="0020243D" w:rsidRPr="00561652" w:rsidRDefault="00345A07" w:rsidP="002722B1">
      <w:pPr>
        <w:rPr>
          <w:rFonts w:ascii="Times New Roman" w:eastAsia="Times New Roman" w:hAnsi="Times New Roman" w:cs="Times New Roman"/>
          <w:sz w:val="24"/>
          <w:szCs w:val="24"/>
        </w:rPr>
      </w:pPr>
      <w:r w:rsidRPr="00561652">
        <w:rPr>
          <w:rFonts w:ascii="Times New Roman" w:eastAsia="Times New Roman" w:hAnsi="Times New Roman" w:cs="Times New Roman"/>
          <w:sz w:val="24"/>
          <w:szCs w:val="24"/>
        </w:rPr>
        <w:t>2021</w:t>
      </w:r>
      <w:r w:rsidR="0020243D" w:rsidRPr="00561652">
        <w:rPr>
          <w:rFonts w:ascii="Times New Roman" w:eastAsia="Times New Roman" w:hAnsi="Times New Roman" w:cs="Times New Roman"/>
          <w:sz w:val="24"/>
          <w:szCs w:val="24"/>
        </w:rPr>
        <w:t xml:space="preserve"> total risk-based capital was 14 420 </w:t>
      </w:r>
      <w:r w:rsidR="00A7050E" w:rsidRPr="00561652">
        <w:rPr>
          <w:rFonts w:ascii="Times New Roman" w:eastAsia="Times New Roman" w:hAnsi="Times New Roman" w:cs="Times New Roman"/>
          <w:sz w:val="24"/>
          <w:szCs w:val="24"/>
        </w:rPr>
        <w:t>504,</w:t>
      </w:r>
      <w:r w:rsidR="008C0F3D" w:rsidRPr="00561652">
        <w:rPr>
          <w:rFonts w:ascii="Times New Roman" w:eastAsia="Times New Roman" w:hAnsi="Times New Roman" w:cs="Times New Roman"/>
          <w:sz w:val="24"/>
          <w:szCs w:val="24"/>
        </w:rPr>
        <w:t xml:space="preserve"> </w:t>
      </w:r>
      <w:r w:rsidR="008C0F3D" w:rsidRPr="00561652">
        <w:rPr>
          <w:rFonts w:ascii="Times New Roman" w:eastAsia="Times New Roman" w:hAnsi="Times New Roman" w:cs="Times New Roman"/>
          <w:sz w:val="24"/>
          <w:szCs w:val="24"/>
        </w:rPr>
        <w:t>12 842 344</w:t>
      </w:r>
      <w:r w:rsidR="008C0F3D" w:rsidRPr="00561652">
        <w:rPr>
          <w:rFonts w:ascii="Times New Roman" w:eastAsia="Times New Roman" w:hAnsi="Times New Roman" w:cs="Times New Roman"/>
          <w:sz w:val="24"/>
          <w:szCs w:val="24"/>
        </w:rPr>
        <w:t xml:space="preserve"> in 2020</w:t>
      </w:r>
      <w:r w:rsidR="0020243D" w:rsidRPr="00561652">
        <w:rPr>
          <w:rFonts w:ascii="Times New Roman" w:eastAsia="Times New Roman" w:hAnsi="Times New Roman" w:cs="Times New Roman"/>
          <w:sz w:val="24"/>
          <w:szCs w:val="24"/>
        </w:rPr>
        <w:t>,</w:t>
      </w:r>
      <w:r w:rsidR="008C0F3D" w:rsidRPr="00561652">
        <w:rPr>
          <w:rFonts w:ascii="Times New Roman" w:eastAsia="Times New Roman" w:hAnsi="Times New Roman" w:cs="Times New Roman"/>
          <w:sz w:val="24"/>
          <w:szCs w:val="24"/>
        </w:rPr>
        <w:t>10 802 209 in 2019,9 505 044 in 2018</w:t>
      </w:r>
      <w:r w:rsidR="00F46949" w:rsidRPr="00561652">
        <w:rPr>
          <w:rFonts w:ascii="Times New Roman" w:eastAsia="Times New Roman" w:hAnsi="Times New Roman" w:cs="Times New Roman"/>
          <w:sz w:val="24"/>
          <w:szCs w:val="24"/>
        </w:rPr>
        <w:t xml:space="preserve"> </w:t>
      </w:r>
      <w:r w:rsidR="00A7050E" w:rsidRPr="00561652">
        <w:rPr>
          <w:rFonts w:ascii="Times New Roman" w:eastAsia="Times New Roman" w:hAnsi="Times New Roman" w:cs="Times New Roman"/>
          <w:sz w:val="24"/>
          <w:szCs w:val="24"/>
        </w:rPr>
        <w:t>and 8</w:t>
      </w:r>
      <w:r w:rsidR="00F46949" w:rsidRPr="00561652">
        <w:rPr>
          <w:rFonts w:ascii="Times New Roman" w:eastAsia="Times New Roman" w:hAnsi="Times New Roman" w:cs="Times New Roman"/>
          <w:sz w:val="24"/>
          <w:szCs w:val="24"/>
        </w:rPr>
        <w:t xml:space="preserve"> 615 389 in 2017.</w:t>
      </w:r>
      <w:r w:rsidR="0020243D" w:rsidRPr="00561652">
        <w:rPr>
          <w:rFonts w:ascii="Times New Roman" w:eastAsia="Times New Roman" w:hAnsi="Times New Roman" w:cs="Times New Roman"/>
          <w:sz w:val="24"/>
          <w:szCs w:val="24"/>
        </w:rPr>
        <w:t xml:space="preserve"> its capital adequacy assessment the bank incorporates current and pending regulatory requirements, maintains internal controls </w:t>
      </w:r>
      <w:r w:rsidR="00A7050E" w:rsidRPr="00561652">
        <w:rPr>
          <w:rFonts w:ascii="Times New Roman" w:eastAsia="Times New Roman" w:hAnsi="Times New Roman" w:cs="Times New Roman"/>
          <w:sz w:val="24"/>
          <w:szCs w:val="24"/>
        </w:rPr>
        <w:t>regarding planning</w:t>
      </w:r>
      <w:r w:rsidR="0020243D" w:rsidRPr="00561652">
        <w:rPr>
          <w:rFonts w:ascii="Times New Roman" w:eastAsia="Times New Roman" w:hAnsi="Times New Roman" w:cs="Times New Roman"/>
          <w:sz w:val="24"/>
          <w:szCs w:val="24"/>
        </w:rPr>
        <w:t xml:space="preserve"> and capital </w:t>
      </w:r>
      <w:r w:rsidR="0020243D" w:rsidRPr="00561652">
        <w:rPr>
          <w:rFonts w:ascii="Times New Roman" w:eastAsia="Times New Roman" w:hAnsi="Times New Roman" w:cs="Times New Roman"/>
          <w:sz w:val="24"/>
          <w:szCs w:val="24"/>
        </w:rPr>
        <w:lastRenderedPageBreak/>
        <w:t>adequacy assessment processes which are inclusive of model validation, comprehensive documentation and audit review.</w:t>
      </w:r>
      <w:r w:rsidR="00F46949" w:rsidRPr="00561652">
        <w:rPr>
          <w:rFonts w:ascii="Times New Roman" w:eastAsia="Times New Roman" w:hAnsi="Times New Roman" w:cs="Times New Roman"/>
          <w:sz w:val="24"/>
          <w:szCs w:val="24"/>
        </w:rPr>
        <w:t xml:space="preserve"> The same mitigations are repeated each year.</w:t>
      </w:r>
    </w:p>
    <w:p w:rsidR="000E263F" w:rsidRPr="00561652" w:rsidRDefault="000E263F" w:rsidP="002722B1">
      <w:pPr>
        <w:rPr>
          <w:rFonts w:ascii="Times New Roman" w:eastAsia="Times New Roman" w:hAnsi="Times New Roman" w:cs="Times New Roman"/>
          <w:b/>
          <w:sz w:val="24"/>
          <w:szCs w:val="24"/>
        </w:rPr>
      </w:pPr>
      <w:r w:rsidRPr="00561652">
        <w:rPr>
          <w:rFonts w:ascii="Times New Roman" w:hAnsi="Times New Roman" w:cs="Times New Roman"/>
          <w:b/>
          <w:sz w:val="24"/>
          <w:szCs w:val="24"/>
        </w:rPr>
        <w:t>Part E: ARTICLE ANALYSIS / SUMMARY</w:t>
      </w:r>
    </w:p>
    <w:p w:rsidR="0055269C" w:rsidRPr="00561652" w:rsidRDefault="000E263F" w:rsidP="002722B1">
      <w:pPr>
        <w:rPr>
          <w:rFonts w:ascii="Times New Roman" w:hAnsi="Times New Roman" w:cs="Times New Roman"/>
          <w:b/>
          <w:sz w:val="24"/>
          <w:szCs w:val="24"/>
        </w:rPr>
      </w:pPr>
      <w:r w:rsidRPr="00561652">
        <w:rPr>
          <w:rFonts w:ascii="Times New Roman" w:hAnsi="Times New Roman" w:cs="Times New Roman"/>
          <w:b/>
          <w:sz w:val="24"/>
          <w:szCs w:val="24"/>
        </w:rPr>
        <w:t>Early warning indicators of banking crises: expanding the family</w:t>
      </w:r>
    </w:p>
    <w:p w:rsidR="000E263F" w:rsidRPr="00561652" w:rsidRDefault="000E263F" w:rsidP="000E263F">
      <w:pPr>
        <w:rPr>
          <w:rFonts w:ascii="Times New Roman" w:hAnsi="Times New Roman" w:cs="Times New Roman"/>
          <w:sz w:val="24"/>
          <w:szCs w:val="24"/>
        </w:rPr>
      </w:pPr>
      <w:r w:rsidRPr="00561652">
        <w:rPr>
          <w:rFonts w:ascii="Times New Roman" w:hAnsi="Times New Roman" w:cs="Times New Roman"/>
          <w:sz w:val="24"/>
          <w:szCs w:val="24"/>
        </w:rPr>
        <w:t xml:space="preserve"> Many studies, including at the BIS, have found that one can identify such unsustainable booms reasonably well based on, say, deviations of credit and asset pric</w:t>
      </w:r>
      <w:r w:rsidR="00234F38" w:rsidRPr="00561652">
        <w:rPr>
          <w:rFonts w:ascii="Times New Roman" w:hAnsi="Times New Roman" w:cs="Times New Roman"/>
          <w:sz w:val="24"/>
          <w:szCs w:val="24"/>
        </w:rPr>
        <w:t>es from long-run trends</w:t>
      </w:r>
      <w:r w:rsidRPr="00561652">
        <w:rPr>
          <w:rFonts w:ascii="Times New Roman" w:hAnsi="Times New Roman" w:cs="Times New Roman"/>
          <w:sz w:val="24"/>
          <w:szCs w:val="24"/>
        </w:rPr>
        <w:t xml:space="preserve"> breaching certain critical thresholds.</w:t>
      </w:r>
      <w:r w:rsidR="00234F38" w:rsidRPr="00561652">
        <w:rPr>
          <w:rFonts w:ascii="Times New Roman" w:hAnsi="Times New Roman" w:cs="Times New Roman"/>
          <w:sz w:val="24"/>
          <w:szCs w:val="24"/>
        </w:rPr>
        <w:t xml:space="preserve"> </w:t>
      </w:r>
      <w:r w:rsidR="00234F38" w:rsidRPr="00561652">
        <w:rPr>
          <w:rFonts w:ascii="Times New Roman" w:hAnsi="Times New Roman" w:cs="Times New Roman"/>
          <w:sz w:val="24"/>
          <w:szCs w:val="24"/>
        </w:rPr>
        <w:t xml:space="preserve">in recent years the BIS has regularly published credit-to-GDP gaps, economy-wide debt service ratios (DSRs) and, less frequently, property price gaps. </w:t>
      </w:r>
      <w:r w:rsidR="00234F38" w:rsidRPr="00561652">
        <w:rPr>
          <w:rFonts w:ascii="Times New Roman" w:hAnsi="Times New Roman" w:cs="Times New Roman"/>
          <w:sz w:val="24"/>
          <w:szCs w:val="24"/>
        </w:rPr>
        <w:t>R</w:t>
      </w:r>
      <w:r w:rsidR="00234F38" w:rsidRPr="00561652">
        <w:rPr>
          <w:rFonts w:ascii="Times New Roman" w:hAnsi="Times New Roman" w:cs="Times New Roman"/>
          <w:sz w:val="24"/>
          <w:szCs w:val="24"/>
        </w:rPr>
        <w:t>esearch has pointed to the importance of specific subcategories of debt as a source of vulnerabilities, especially household debt and cross-borde</w:t>
      </w:r>
      <w:r w:rsidR="00234F38" w:rsidRPr="00561652">
        <w:rPr>
          <w:rFonts w:ascii="Times New Roman" w:hAnsi="Times New Roman" w:cs="Times New Roman"/>
          <w:sz w:val="24"/>
          <w:szCs w:val="24"/>
        </w:rPr>
        <w:t>r and/or foreign currency debt.</w:t>
      </w:r>
    </w:p>
    <w:p w:rsidR="00234F38" w:rsidRPr="00561652" w:rsidRDefault="00234F38" w:rsidP="00234F38">
      <w:pPr>
        <w:rPr>
          <w:rFonts w:ascii="Times New Roman" w:hAnsi="Times New Roman" w:cs="Times New Roman"/>
          <w:sz w:val="24"/>
          <w:szCs w:val="24"/>
        </w:rPr>
      </w:pPr>
      <w:r w:rsidRPr="00561652">
        <w:rPr>
          <w:rFonts w:ascii="Times New Roman" w:hAnsi="Times New Roman" w:cs="Times New Roman"/>
          <w:sz w:val="24"/>
          <w:szCs w:val="24"/>
        </w:rPr>
        <w:t xml:space="preserve">To </w:t>
      </w:r>
      <w:r w:rsidRPr="00561652">
        <w:rPr>
          <w:rFonts w:ascii="Times New Roman" w:hAnsi="Times New Roman" w:cs="Times New Roman"/>
          <w:sz w:val="24"/>
          <w:szCs w:val="24"/>
        </w:rPr>
        <w:t>assess the EWI performance of both household and international debt</w:t>
      </w:r>
      <w:r w:rsidRPr="00561652">
        <w:rPr>
          <w:rFonts w:ascii="Times New Roman" w:hAnsi="Times New Roman" w:cs="Times New Roman"/>
          <w:sz w:val="24"/>
          <w:szCs w:val="24"/>
        </w:rPr>
        <w:t xml:space="preserve">, we </w:t>
      </w:r>
      <w:r w:rsidRPr="00561652">
        <w:rPr>
          <w:rFonts w:ascii="Times New Roman" w:hAnsi="Times New Roman" w:cs="Times New Roman"/>
          <w:sz w:val="24"/>
          <w:szCs w:val="24"/>
        </w:rPr>
        <w:t xml:space="preserve">draw extensively on BIS statistics, notably the international banking and securities statistics as well as sectoral </w:t>
      </w:r>
      <w:r w:rsidRPr="00561652">
        <w:rPr>
          <w:rFonts w:ascii="Times New Roman" w:hAnsi="Times New Roman" w:cs="Times New Roman"/>
          <w:sz w:val="24"/>
          <w:szCs w:val="24"/>
        </w:rPr>
        <w:t xml:space="preserve">credit data and DSRs and secondly </w:t>
      </w:r>
      <w:r w:rsidRPr="00561652">
        <w:rPr>
          <w:rFonts w:ascii="Times New Roman" w:hAnsi="Times New Roman" w:cs="Times New Roman"/>
          <w:sz w:val="24"/>
          <w:szCs w:val="24"/>
        </w:rPr>
        <w:t>map the statistical analysis into</w:t>
      </w:r>
      <w:r w:rsidRPr="00561652">
        <w:rPr>
          <w:rFonts w:ascii="Times New Roman" w:hAnsi="Times New Roman" w:cs="Times New Roman"/>
          <w:sz w:val="24"/>
          <w:szCs w:val="24"/>
        </w:rPr>
        <w:t xml:space="preserve"> </w:t>
      </w:r>
      <w:r w:rsidRPr="00561652">
        <w:rPr>
          <w:rFonts w:ascii="Times New Roman" w:hAnsi="Times New Roman" w:cs="Times New Roman"/>
          <w:sz w:val="24"/>
          <w:szCs w:val="24"/>
        </w:rPr>
        <w:t xml:space="preserve">current conditions, taking into </w:t>
      </w:r>
      <w:r w:rsidRPr="00561652">
        <w:rPr>
          <w:rFonts w:ascii="Times New Roman" w:hAnsi="Times New Roman" w:cs="Times New Roman"/>
          <w:sz w:val="24"/>
          <w:szCs w:val="24"/>
        </w:rPr>
        <w:t>consideration</w:t>
      </w:r>
      <w:r w:rsidRPr="00561652">
        <w:rPr>
          <w:rFonts w:ascii="Times New Roman" w:hAnsi="Times New Roman" w:cs="Times New Roman"/>
          <w:sz w:val="24"/>
          <w:szCs w:val="24"/>
        </w:rPr>
        <w:t xml:space="preserve"> the information from aggregate indicators.</w:t>
      </w:r>
      <w:r w:rsidRPr="00561652">
        <w:rPr>
          <w:rFonts w:ascii="Times New Roman" w:hAnsi="Times New Roman" w:cs="Times New Roman"/>
          <w:sz w:val="24"/>
          <w:szCs w:val="24"/>
        </w:rPr>
        <w:t xml:space="preserve"> We therefore decide to </w:t>
      </w:r>
      <w:r w:rsidRPr="00561652">
        <w:rPr>
          <w:rFonts w:ascii="Times New Roman" w:hAnsi="Times New Roman" w:cs="Times New Roman"/>
          <w:sz w:val="24"/>
          <w:szCs w:val="24"/>
        </w:rPr>
        <w:t>clarify some common misconceptions a</w:t>
      </w:r>
      <w:r w:rsidRPr="00561652">
        <w:rPr>
          <w:rFonts w:ascii="Times New Roman" w:hAnsi="Times New Roman" w:cs="Times New Roman"/>
          <w:sz w:val="24"/>
          <w:szCs w:val="24"/>
        </w:rPr>
        <w:t>bout the interpretation of EWIs below</w:t>
      </w:r>
    </w:p>
    <w:p w:rsidR="00A7050E" w:rsidRPr="00561652" w:rsidRDefault="00234F38" w:rsidP="00234F38">
      <w:pPr>
        <w:rPr>
          <w:rFonts w:ascii="Times New Roman" w:hAnsi="Times New Roman" w:cs="Times New Roman"/>
          <w:sz w:val="24"/>
          <w:szCs w:val="24"/>
        </w:rPr>
      </w:pPr>
      <w:r w:rsidRPr="00561652">
        <w:rPr>
          <w:rFonts w:ascii="Times New Roman" w:hAnsi="Times New Roman" w:cs="Times New Roman"/>
          <w:sz w:val="24"/>
          <w:szCs w:val="24"/>
        </w:rPr>
        <w:t>We develop three key findings. First,</w:t>
      </w:r>
      <w:r w:rsidR="00DD0834" w:rsidRPr="00561652">
        <w:rPr>
          <w:rFonts w:ascii="Times New Roman" w:hAnsi="Times New Roman" w:cs="Times New Roman"/>
          <w:sz w:val="24"/>
          <w:szCs w:val="24"/>
        </w:rPr>
        <w:t xml:space="preserve"> </w:t>
      </w:r>
      <w:r w:rsidRPr="00561652">
        <w:rPr>
          <w:rFonts w:ascii="Times New Roman" w:hAnsi="Times New Roman" w:cs="Times New Roman"/>
          <w:sz w:val="24"/>
          <w:szCs w:val="24"/>
        </w:rPr>
        <w:t>i</w:t>
      </w:r>
      <w:r w:rsidRPr="00561652">
        <w:rPr>
          <w:rFonts w:ascii="Times New Roman" w:hAnsi="Times New Roman" w:cs="Times New Roman"/>
          <w:sz w:val="24"/>
          <w:szCs w:val="24"/>
        </w:rPr>
        <w:t xml:space="preserve">ndicators relying </w:t>
      </w:r>
      <w:r w:rsidR="00DD0834" w:rsidRPr="00561652">
        <w:rPr>
          <w:rFonts w:ascii="Times New Roman" w:hAnsi="Times New Roman" w:cs="Times New Roman"/>
          <w:sz w:val="24"/>
          <w:szCs w:val="24"/>
        </w:rPr>
        <w:t xml:space="preserve">on </w:t>
      </w:r>
      <w:r w:rsidR="00A7050E" w:rsidRPr="00561652">
        <w:rPr>
          <w:rFonts w:ascii="Times New Roman" w:hAnsi="Times New Roman" w:cs="Times New Roman"/>
          <w:sz w:val="24"/>
          <w:szCs w:val="24"/>
        </w:rPr>
        <w:t>cross-</w:t>
      </w:r>
      <w:r w:rsidR="00DD0834" w:rsidRPr="00561652">
        <w:rPr>
          <w:rFonts w:ascii="Times New Roman" w:hAnsi="Times New Roman" w:cs="Times New Roman"/>
          <w:sz w:val="24"/>
          <w:szCs w:val="24"/>
        </w:rPr>
        <w:t>border</w:t>
      </w:r>
      <w:r w:rsidRPr="00561652">
        <w:rPr>
          <w:rFonts w:ascii="Times New Roman" w:hAnsi="Times New Roman" w:cs="Times New Roman"/>
          <w:sz w:val="24"/>
          <w:szCs w:val="24"/>
        </w:rPr>
        <w:t xml:space="preserve"> debt do contain useful information about future banking distress. </w:t>
      </w:r>
      <w:r w:rsidR="00DD0834" w:rsidRPr="00561652">
        <w:rPr>
          <w:rFonts w:ascii="Times New Roman" w:hAnsi="Times New Roman" w:cs="Times New Roman"/>
          <w:sz w:val="24"/>
          <w:szCs w:val="24"/>
        </w:rPr>
        <w:t>Second</w:t>
      </w:r>
      <w:r w:rsidRPr="00561652">
        <w:rPr>
          <w:rFonts w:ascii="Times New Roman" w:hAnsi="Times New Roman" w:cs="Times New Roman"/>
          <w:sz w:val="24"/>
          <w:szCs w:val="24"/>
        </w:rPr>
        <w:t>, it is possible to further improve performance by combining individual indicators</w:t>
      </w:r>
      <w:r w:rsidR="00DD0834" w:rsidRPr="00561652">
        <w:rPr>
          <w:rFonts w:ascii="Times New Roman" w:hAnsi="Times New Roman" w:cs="Times New Roman"/>
          <w:sz w:val="24"/>
          <w:szCs w:val="24"/>
        </w:rPr>
        <w:t xml:space="preserve"> a case in point </w:t>
      </w:r>
      <w:r w:rsidR="00A7050E" w:rsidRPr="00561652">
        <w:rPr>
          <w:rFonts w:ascii="Times New Roman" w:hAnsi="Times New Roman" w:cs="Times New Roman"/>
          <w:sz w:val="24"/>
          <w:szCs w:val="24"/>
        </w:rPr>
        <w:t>being combining</w:t>
      </w:r>
      <w:r w:rsidRPr="00561652">
        <w:rPr>
          <w:rFonts w:ascii="Times New Roman" w:hAnsi="Times New Roman" w:cs="Times New Roman"/>
          <w:sz w:val="24"/>
          <w:szCs w:val="24"/>
        </w:rPr>
        <w:t xml:space="preserve"> debt variables with property prices</w:t>
      </w:r>
      <w:r w:rsidR="00DD0834" w:rsidRPr="00561652">
        <w:rPr>
          <w:rFonts w:ascii="Times New Roman" w:hAnsi="Times New Roman" w:cs="Times New Roman"/>
          <w:sz w:val="24"/>
          <w:szCs w:val="24"/>
        </w:rPr>
        <w:t xml:space="preserve"> and </w:t>
      </w:r>
      <w:r w:rsidR="00A7050E" w:rsidRPr="00561652">
        <w:rPr>
          <w:rFonts w:ascii="Times New Roman" w:hAnsi="Times New Roman" w:cs="Times New Roman"/>
          <w:sz w:val="24"/>
          <w:szCs w:val="24"/>
        </w:rPr>
        <w:t>finally, we</w:t>
      </w:r>
      <w:r w:rsidR="00DD0834" w:rsidRPr="00561652">
        <w:rPr>
          <w:rFonts w:ascii="Times New Roman" w:hAnsi="Times New Roman" w:cs="Times New Roman"/>
          <w:sz w:val="24"/>
          <w:szCs w:val="24"/>
        </w:rPr>
        <w:t xml:space="preserve"> conclude that</w:t>
      </w:r>
      <w:r w:rsidRPr="00561652">
        <w:rPr>
          <w:rFonts w:ascii="Times New Roman" w:hAnsi="Times New Roman" w:cs="Times New Roman"/>
          <w:sz w:val="24"/>
          <w:szCs w:val="24"/>
        </w:rPr>
        <w:t xml:space="preserve"> the indicators currently point to the build-up of risks in several economies.</w:t>
      </w:r>
      <w:r w:rsidR="00DD0834" w:rsidRPr="00561652">
        <w:rPr>
          <w:rFonts w:ascii="Times New Roman" w:hAnsi="Times New Roman" w:cs="Times New Roman"/>
          <w:sz w:val="24"/>
          <w:szCs w:val="24"/>
        </w:rPr>
        <w:t xml:space="preserve"> The structure of </w:t>
      </w:r>
      <w:r w:rsidR="00A7050E" w:rsidRPr="00561652">
        <w:rPr>
          <w:rFonts w:ascii="Times New Roman" w:hAnsi="Times New Roman" w:cs="Times New Roman"/>
          <w:sz w:val="24"/>
          <w:szCs w:val="24"/>
        </w:rPr>
        <w:t>the feature</w:t>
      </w:r>
      <w:r w:rsidR="00DD0834" w:rsidRPr="00561652">
        <w:rPr>
          <w:rFonts w:ascii="Times New Roman" w:hAnsi="Times New Roman" w:cs="Times New Roman"/>
          <w:sz w:val="24"/>
          <w:szCs w:val="24"/>
        </w:rPr>
        <w:t xml:space="preserve"> is such that the rationale behind the EWIs is reviewed followed by evaluating their performance and finally draw on the findings of the previous step to </w:t>
      </w:r>
      <w:r w:rsidR="00A7050E" w:rsidRPr="00561652">
        <w:rPr>
          <w:rFonts w:ascii="Times New Roman" w:hAnsi="Times New Roman" w:cs="Times New Roman"/>
          <w:sz w:val="24"/>
          <w:szCs w:val="24"/>
        </w:rPr>
        <w:t>discuss current vulnerabilities.</w:t>
      </w:r>
    </w:p>
    <w:p w:rsidR="002C0B44" w:rsidRPr="00561652" w:rsidRDefault="002C0B44" w:rsidP="00234F38">
      <w:pPr>
        <w:rPr>
          <w:rFonts w:ascii="Times New Roman" w:hAnsi="Times New Roman" w:cs="Times New Roman"/>
          <w:b/>
          <w:sz w:val="24"/>
          <w:szCs w:val="24"/>
        </w:rPr>
      </w:pPr>
      <w:r w:rsidRPr="00561652">
        <w:rPr>
          <w:rFonts w:ascii="Times New Roman" w:hAnsi="Times New Roman" w:cs="Times New Roman"/>
          <w:b/>
          <w:sz w:val="24"/>
          <w:szCs w:val="24"/>
        </w:rPr>
        <w:t>The rationale behind EWIs</w:t>
      </w:r>
    </w:p>
    <w:p w:rsidR="0024283A" w:rsidRPr="00561652" w:rsidRDefault="002C0B44" w:rsidP="002722B1">
      <w:pPr>
        <w:rPr>
          <w:rFonts w:ascii="Times New Roman" w:hAnsi="Times New Roman" w:cs="Times New Roman"/>
          <w:sz w:val="24"/>
          <w:szCs w:val="24"/>
        </w:rPr>
      </w:pPr>
      <w:r w:rsidRPr="00561652">
        <w:rPr>
          <w:rFonts w:ascii="Times New Roman" w:hAnsi="Times New Roman" w:cs="Times New Roman"/>
          <w:sz w:val="24"/>
          <w:szCs w:val="24"/>
        </w:rPr>
        <w:t>EWIs are used to record financial cycle booms in a stylized style. The financial cycle (Minsky (1982), Kindleberger (2000), Borio (2014)) is a self-perpetuating sequence of financial expansions and contractions that can aggravate business volatility. Financial booms that are too large can cause stress and even financial disasters. While progress has been made, quantifying the financial cycle remains difficult since there is no one aggregate measure of financial activity and the underlying theoretical modeling is lacking. However, there is a growing consensus that credit aggregates and asset prices, particularly property prices, play a key role (Terrones et al.)</w:t>
      </w:r>
    </w:p>
    <w:p w:rsidR="002C0B44" w:rsidRPr="00561652" w:rsidRDefault="002C0B44" w:rsidP="002722B1">
      <w:pPr>
        <w:rPr>
          <w:rFonts w:ascii="Times New Roman" w:eastAsia="Times New Roman" w:hAnsi="Times New Roman" w:cs="Times New Roman"/>
          <w:sz w:val="24"/>
          <w:szCs w:val="24"/>
        </w:rPr>
      </w:pPr>
      <w:r w:rsidRPr="00561652">
        <w:rPr>
          <w:rFonts w:ascii="Times New Roman" w:eastAsia="Times New Roman" w:hAnsi="Times New Roman" w:cs="Times New Roman"/>
          <w:sz w:val="24"/>
          <w:szCs w:val="24"/>
        </w:rPr>
        <w:t>Existing BIS EWIs convert the intuitive core idea of a financial boom into simple and transparent measures. The BIS has published and monitored aggregate private sector credit-to-GDP gaps, residential property price gaps, and private non-financial sector DSRs on a regular schedule. The credit-to-GDP gap is determined by subtracting the credit-to-GDP ratio from its (one-sided) long-term trend. 2 Detrending is aimed at removing the impact of benign, long-term changes in the underlying series, such as those caused by financial development. The gap widens if the increase in the credit-to-GDP ratio outpaces the trend for a longer length of time, suggesting the possibility of an economic meltdown</w:t>
      </w:r>
    </w:p>
    <w:p w:rsidR="002C0B44" w:rsidRPr="00561652" w:rsidRDefault="002C0B44" w:rsidP="002C0B44">
      <w:pPr>
        <w:rPr>
          <w:rFonts w:ascii="Times New Roman" w:eastAsia="Times New Roman" w:hAnsi="Times New Roman" w:cs="Times New Roman"/>
          <w:sz w:val="24"/>
          <w:szCs w:val="24"/>
        </w:rPr>
      </w:pPr>
      <w:r w:rsidRPr="00561652">
        <w:rPr>
          <w:rFonts w:ascii="Times New Roman" w:eastAsia="Times New Roman" w:hAnsi="Times New Roman" w:cs="Times New Roman"/>
          <w:sz w:val="24"/>
          <w:szCs w:val="24"/>
        </w:rPr>
        <w:lastRenderedPageBreak/>
        <w:t>The credit-to-GDP gap is defined as the difference between the ratio of total non-financial sector credit to GDP and its trend as calculated using a one-sided Hodrick-Prescott (HP) filter with a smoothing parameter of 400,000. With such a large value, the trend will move quite slowly. The difference between inflation-adjusted residential property prices and a similarly constructed trend is known as the residential property price gap.</w:t>
      </w:r>
    </w:p>
    <w:p w:rsidR="002C0B44" w:rsidRPr="00561652" w:rsidRDefault="002C0B44" w:rsidP="002C0B44">
      <w:pPr>
        <w:rPr>
          <w:rFonts w:ascii="Times New Roman" w:eastAsia="Times New Roman" w:hAnsi="Times New Roman" w:cs="Times New Roman"/>
          <w:sz w:val="24"/>
          <w:szCs w:val="24"/>
        </w:rPr>
      </w:pPr>
      <w:r w:rsidRPr="00561652">
        <w:rPr>
          <w:rFonts w:ascii="Times New Roman" w:eastAsia="Times New Roman" w:hAnsi="Times New Roman" w:cs="Times New Roman"/>
          <w:sz w:val="24"/>
          <w:szCs w:val="24"/>
        </w:rPr>
        <w:t>See Drehmann and Tsatsaronis (2014) for a discussion of the usefulness of this trend metri</w:t>
      </w:r>
      <w:r w:rsidR="005669F9" w:rsidRPr="00561652">
        <w:rPr>
          <w:rFonts w:ascii="Times New Roman" w:eastAsia="Times New Roman" w:hAnsi="Times New Roman" w:cs="Times New Roman"/>
          <w:sz w:val="24"/>
          <w:szCs w:val="24"/>
        </w:rPr>
        <w:t>c in this context’</w:t>
      </w:r>
      <w:r w:rsidRPr="00561652">
        <w:rPr>
          <w:rFonts w:ascii="Times New Roman" w:eastAsia="Times New Roman" w:hAnsi="Times New Roman" w:cs="Times New Roman"/>
          <w:sz w:val="24"/>
          <w:szCs w:val="24"/>
        </w:rPr>
        <w:t>Due to the fact that most countries do not collect statistics on amortisation payments</w:t>
      </w:r>
      <w:r w:rsidRPr="00561652">
        <w:rPr>
          <w:rFonts w:ascii="Times New Roman" w:eastAsia="Times New Roman" w:hAnsi="Times New Roman" w:cs="Times New Roman"/>
          <w:b/>
          <w:sz w:val="24"/>
          <w:szCs w:val="24"/>
        </w:rPr>
        <w:t xml:space="preserve">, these are </w:t>
      </w:r>
      <w:r w:rsidRPr="00561652">
        <w:rPr>
          <w:rFonts w:ascii="Times New Roman" w:eastAsia="Times New Roman" w:hAnsi="Times New Roman" w:cs="Times New Roman"/>
          <w:sz w:val="24"/>
          <w:szCs w:val="24"/>
        </w:rPr>
        <w:t>calculated using data on debt maturities, interest rates, and outstanding debt.</w:t>
      </w:r>
      <w:r w:rsidRPr="00561652">
        <w:rPr>
          <w:rFonts w:ascii="Times New Roman" w:hAnsi="Times New Roman" w:cs="Times New Roman"/>
          <w:sz w:val="24"/>
          <w:szCs w:val="24"/>
        </w:rPr>
        <w:t xml:space="preserve"> </w:t>
      </w:r>
      <w:r w:rsidRPr="00561652">
        <w:rPr>
          <w:rFonts w:ascii="Times New Roman" w:eastAsia="Times New Roman" w:hAnsi="Times New Roman" w:cs="Times New Roman"/>
          <w:sz w:val="24"/>
          <w:szCs w:val="24"/>
        </w:rPr>
        <w:t>DSRs rise during credit booms, and rapid credit expansion translates into greater debt service later on (Drehmann et al (2017)). And, because they account for interest payments, they may outperform the credit gap or credit growth, which occurs when debt accumulates steadily but more slowly over time, rendering balance sheets vulnerable to interest rate increases.</w:t>
      </w:r>
    </w:p>
    <w:p w:rsidR="005669F9" w:rsidRPr="00561652" w:rsidRDefault="002C0B44" w:rsidP="005669F9">
      <w:pPr>
        <w:rPr>
          <w:rFonts w:ascii="Times New Roman" w:eastAsia="Times New Roman" w:hAnsi="Times New Roman" w:cs="Times New Roman"/>
          <w:sz w:val="24"/>
          <w:szCs w:val="24"/>
        </w:rPr>
      </w:pPr>
      <w:r w:rsidRPr="00561652">
        <w:rPr>
          <w:rFonts w:ascii="Times New Roman" w:eastAsia="Times New Roman" w:hAnsi="Times New Roman" w:cs="Times New Roman"/>
          <w:sz w:val="24"/>
          <w:szCs w:val="24"/>
        </w:rPr>
        <w:t>As a result, it's unsurprising that credit, DSRs, and property price disparities were all rather high prior to previous crises (Graph 1). For similar reasons, they are effective as EWIs on their own and even better when combined (Borio and Lowe (2002a), Drehmann et al (2011), Drehmann and Juselius (2012), Detken et al (2014)</w:t>
      </w:r>
      <w:r w:rsidR="005669F9" w:rsidRPr="00561652">
        <w:rPr>
          <w:rFonts w:ascii="Times New Roman" w:eastAsia="Times New Roman" w:hAnsi="Times New Roman" w:cs="Times New Roman"/>
          <w:sz w:val="24"/>
          <w:szCs w:val="24"/>
        </w:rPr>
        <w:t>Recent research has highlighted the importance of the household sector in addition to the aggregate credit changes covered by the current BIS EWIs. While increased family debt enhances consumption and output growth in the short term, it does so at t</w:t>
      </w:r>
      <w:r w:rsidR="005669F9" w:rsidRPr="00561652">
        <w:rPr>
          <w:rFonts w:ascii="Times New Roman" w:eastAsia="Times New Roman" w:hAnsi="Times New Roman" w:cs="Times New Roman"/>
          <w:sz w:val="24"/>
          <w:szCs w:val="24"/>
        </w:rPr>
        <w:t xml:space="preserve">he expense of long-term </w:t>
      </w:r>
      <w:r w:rsidR="00F56E8F" w:rsidRPr="00561652">
        <w:rPr>
          <w:rFonts w:ascii="Times New Roman" w:eastAsia="Times New Roman" w:hAnsi="Times New Roman" w:cs="Times New Roman"/>
          <w:sz w:val="24"/>
          <w:szCs w:val="24"/>
        </w:rPr>
        <w:t>growth. In</w:t>
      </w:r>
      <w:r w:rsidR="005669F9" w:rsidRPr="00561652">
        <w:rPr>
          <w:rFonts w:ascii="Times New Roman" w:eastAsia="Times New Roman" w:hAnsi="Times New Roman" w:cs="Times New Roman"/>
          <w:sz w:val="24"/>
          <w:szCs w:val="24"/>
        </w:rPr>
        <w:t xml:space="preserve"> the short term, too much of it can stifle output growth, but in the mediu</w:t>
      </w:r>
      <w:r w:rsidR="005669F9" w:rsidRPr="00561652">
        <w:rPr>
          <w:rFonts w:ascii="Times New Roman" w:eastAsia="Times New Roman" w:hAnsi="Times New Roman" w:cs="Times New Roman"/>
          <w:sz w:val="24"/>
          <w:szCs w:val="24"/>
        </w:rPr>
        <w:t>m to long term, it can boost it</w:t>
      </w:r>
      <w:r w:rsidR="00F56E8F" w:rsidRPr="00561652">
        <w:rPr>
          <w:rFonts w:ascii="Times New Roman" w:eastAsia="Times New Roman" w:hAnsi="Times New Roman" w:cs="Times New Roman"/>
          <w:sz w:val="24"/>
          <w:szCs w:val="24"/>
        </w:rPr>
        <w:t>’ (</w:t>
      </w:r>
      <w:r w:rsidR="005669F9" w:rsidRPr="00561652">
        <w:rPr>
          <w:rFonts w:ascii="Times New Roman" w:eastAsia="Times New Roman" w:hAnsi="Times New Roman" w:cs="Times New Roman"/>
          <w:sz w:val="24"/>
          <w:szCs w:val="24"/>
        </w:rPr>
        <w:t xml:space="preserve">See, for instance, </w:t>
      </w:r>
      <w:proofErr w:type="spellStart"/>
      <w:r w:rsidR="005669F9" w:rsidRPr="00561652">
        <w:rPr>
          <w:rFonts w:ascii="Times New Roman" w:eastAsia="Times New Roman" w:hAnsi="Times New Roman" w:cs="Times New Roman"/>
          <w:sz w:val="24"/>
          <w:szCs w:val="24"/>
        </w:rPr>
        <w:t>Mian</w:t>
      </w:r>
      <w:proofErr w:type="spellEnd"/>
      <w:r w:rsidR="005669F9" w:rsidRPr="00561652">
        <w:rPr>
          <w:rFonts w:ascii="Times New Roman" w:eastAsia="Times New Roman" w:hAnsi="Times New Roman" w:cs="Times New Roman"/>
          <w:sz w:val="24"/>
          <w:szCs w:val="24"/>
        </w:rPr>
        <w:t xml:space="preserve"> et al. (2017), Lombardi et al. (2017), and Zabai (2017).) </w:t>
      </w:r>
      <w:r w:rsidR="005669F9" w:rsidRPr="00561652">
        <w:rPr>
          <w:rFonts w:ascii="Times New Roman" w:eastAsia="Times New Roman" w:hAnsi="Times New Roman" w:cs="Times New Roman"/>
          <w:sz w:val="24"/>
          <w:szCs w:val="24"/>
        </w:rPr>
        <w:t xml:space="preserve">Household debt that is too </w:t>
      </w:r>
      <w:r w:rsidR="00F56E8F" w:rsidRPr="00561652">
        <w:rPr>
          <w:rFonts w:ascii="Times New Roman" w:eastAsia="Times New Roman" w:hAnsi="Times New Roman" w:cs="Times New Roman"/>
          <w:sz w:val="24"/>
          <w:szCs w:val="24"/>
        </w:rPr>
        <w:t>high has</w:t>
      </w:r>
      <w:r w:rsidR="005669F9" w:rsidRPr="00561652">
        <w:rPr>
          <w:rFonts w:ascii="Times New Roman" w:eastAsia="Times New Roman" w:hAnsi="Times New Roman" w:cs="Times New Roman"/>
          <w:sz w:val="24"/>
          <w:szCs w:val="24"/>
        </w:rPr>
        <w:t xml:space="preserve"> also been linked to the onset of financial crises (e.g. Jo</w:t>
      </w:r>
      <w:r w:rsidR="005669F9" w:rsidRPr="00561652">
        <w:rPr>
          <w:rFonts w:ascii="Times New Roman" w:eastAsia="Times New Roman" w:hAnsi="Times New Roman" w:cs="Times New Roman"/>
          <w:sz w:val="24"/>
          <w:szCs w:val="24"/>
        </w:rPr>
        <w:t>rdà et al. (2016), IMF) (2017),</w:t>
      </w:r>
      <w:r w:rsidR="005669F9" w:rsidRPr="00561652">
        <w:rPr>
          <w:rFonts w:ascii="Times New Roman" w:eastAsia="Times New Roman" w:hAnsi="Times New Roman" w:cs="Times New Roman"/>
          <w:sz w:val="24"/>
          <w:szCs w:val="24"/>
        </w:rPr>
        <w:t>Drehmann and colleagues (2017). As a result, indices for monitoring house</w:t>
      </w:r>
      <w:r w:rsidR="005669F9" w:rsidRPr="00561652">
        <w:rPr>
          <w:rFonts w:ascii="Times New Roman" w:eastAsia="Times New Roman" w:hAnsi="Times New Roman" w:cs="Times New Roman"/>
          <w:sz w:val="24"/>
          <w:szCs w:val="24"/>
        </w:rPr>
        <w:t>hold debt trends are important.</w:t>
      </w:r>
      <w:r w:rsidR="005669F9" w:rsidRPr="00561652">
        <w:rPr>
          <w:rFonts w:ascii="Times New Roman" w:eastAsia="Times New Roman" w:hAnsi="Times New Roman" w:cs="Times New Roman"/>
          <w:sz w:val="24"/>
          <w:szCs w:val="24"/>
        </w:rPr>
        <w:t>Many central bank financial stability reports (e.g., the Bank of Engla</w:t>
      </w:r>
      <w:r w:rsidR="005669F9" w:rsidRPr="00561652">
        <w:rPr>
          <w:rFonts w:ascii="Times New Roman" w:eastAsia="Times New Roman" w:hAnsi="Times New Roman" w:cs="Times New Roman"/>
          <w:sz w:val="24"/>
          <w:szCs w:val="24"/>
        </w:rPr>
        <w:t>nd's) include them prominently.</w:t>
      </w:r>
      <w:r w:rsidR="005669F9" w:rsidRPr="00561652">
        <w:rPr>
          <w:rFonts w:ascii="Times New Roman" w:eastAsia="Times New Roman" w:hAnsi="Times New Roman" w:cs="Times New Roman"/>
          <w:sz w:val="24"/>
          <w:szCs w:val="24"/>
        </w:rPr>
        <w:t>Canada (2017), the European Central Bank (2017), and the Bank of England (2017)</w:t>
      </w:r>
    </w:p>
    <w:p w:rsidR="005669F9" w:rsidRPr="00561652" w:rsidRDefault="005669F9" w:rsidP="005669F9">
      <w:pPr>
        <w:rPr>
          <w:rFonts w:ascii="Times New Roman" w:eastAsia="Times New Roman" w:hAnsi="Times New Roman" w:cs="Times New Roman"/>
          <w:b/>
          <w:sz w:val="24"/>
          <w:szCs w:val="24"/>
        </w:rPr>
      </w:pPr>
    </w:p>
    <w:p w:rsidR="005669F9" w:rsidRPr="00561652" w:rsidRDefault="005669F9" w:rsidP="005669F9">
      <w:pPr>
        <w:rPr>
          <w:rFonts w:ascii="Times New Roman" w:hAnsi="Times New Roman" w:cs="Times New Roman"/>
          <w:b/>
          <w:sz w:val="24"/>
          <w:szCs w:val="24"/>
        </w:rPr>
      </w:pPr>
      <w:r w:rsidRPr="00561652">
        <w:rPr>
          <w:rFonts w:ascii="Times New Roman" w:hAnsi="Times New Roman" w:cs="Times New Roman"/>
          <w:b/>
          <w:sz w:val="24"/>
          <w:szCs w:val="24"/>
        </w:rPr>
        <w:t>Evaluating EWIs</w:t>
      </w:r>
    </w:p>
    <w:p w:rsidR="005669F9" w:rsidRPr="00561652" w:rsidRDefault="005669F9" w:rsidP="005669F9">
      <w:pPr>
        <w:rPr>
          <w:rFonts w:ascii="Times New Roman" w:eastAsia="Times New Roman" w:hAnsi="Times New Roman" w:cs="Times New Roman"/>
          <w:sz w:val="24"/>
          <w:szCs w:val="24"/>
        </w:rPr>
      </w:pPr>
      <w:r w:rsidRPr="00561652">
        <w:rPr>
          <w:rFonts w:ascii="Times New Roman" w:eastAsia="Times New Roman" w:hAnsi="Times New Roman" w:cs="Times New Roman"/>
          <w:sz w:val="24"/>
          <w:szCs w:val="24"/>
        </w:rPr>
        <w:t>When formally assessing the EWIs' performance, it would be great to know how policymakers weigh the trade-off between missed crisis calls (type I errors) and false alarms (type II errors). However, due to the lack of experience from which to predict expected costs and benefits (CGFS (2012)), this cannot be done with any precision.</w:t>
      </w:r>
      <w:r w:rsidRPr="00561652">
        <w:rPr>
          <w:rFonts w:ascii="Times New Roman" w:hAnsi="Times New Roman" w:cs="Times New Roman"/>
          <w:sz w:val="24"/>
          <w:szCs w:val="24"/>
        </w:rPr>
        <w:t xml:space="preserve"> </w:t>
      </w:r>
      <w:r w:rsidRPr="00561652">
        <w:rPr>
          <w:rFonts w:ascii="Times New Roman" w:eastAsia="Times New Roman" w:hAnsi="Times New Roman" w:cs="Times New Roman"/>
          <w:sz w:val="24"/>
          <w:szCs w:val="24"/>
        </w:rPr>
        <w:t>In the absence of well-defined trade-offs, one way to evaluate EWI performance is to consider the full mapping between type I and type II errors. The receiver operating characteristic (ROC) curve denotes this mapping (see Box A for details). The area under the curve (AUC) is a simple and easy-to-understand summary measure of a binary (yes/no) signal's signaling quality. The AUC of a completely uninformative indicator is 0.5. Similarly, the AUC for the perfect indicator is 1. An informative indicator's AUC is between and statistically different from 0.5.</w:t>
      </w:r>
      <w:r w:rsidRPr="00561652">
        <w:rPr>
          <w:rFonts w:ascii="Times New Roman" w:hAnsi="Times New Roman" w:cs="Times New Roman"/>
          <w:sz w:val="24"/>
          <w:szCs w:val="24"/>
        </w:rPr>
        <w:t xml:space="preserve"> </w:t>
      </w:r>
      <w:r w:rsidRPr="00561652">
        <w:rPr>
          <w:rFonts w:ascii="Times New Roman" w:eastAsia="Times New Roman" w:hAnsi="Times New Roman" w:cs="Times New Roman"/>
          <w:sz w:val="24"/>
          <w:szCs w:val="24"/>
        </w:rPr>
        <w:t xml:space="preserve">the thresholds, we assume that policymakers select one that minimizes the noise-to-signal ratio (the proportion of false alarms to correctly predicted events) while capturing at least two-thirds of the crises, as proposed by </w:t>
      </w:r>
      <w:bookmarkStart w:id="0" w:name="_GoBack"/>
      <w:proofErr w:type="spellStart"/>
      <w:r w:rsidRPr="00561652">
        <w:rPr>
          <w:rFonts w:ascii="Times New Roman" w:eastAsia="Times New Roman" w:hAnsi="Times New Roman" w:cs="Times New Roman"/>
          <w:sz w:val="24"/>
          <w:szCs w:val="24"/>
        </w:rPr>
        <w:t>Borio</w:t>
      </w:r>
      <w:bookmarkEnd w:id="0"/>
      <w:proofErr w:type="spellEnd"/>
      <w:r w:rsidRPr="00561652">
        <w:rPr>
          <w:rFonts w:ascii="Times New Roman" w:eastAsia="Times New Roman" w:hAnsi="Times New Roman" w:cs="Times New Roman"/>
          <w:sz w:val="24"/>
          <w:szCs w:val="24"/>
        </w:rPr>
        <w:t xml:space="preserve"> and </w:t>
      </w:r>
      <w:proofErr w:type="spellStart"/>
      <w:r w:rsidRPr="00561652">
        <w:rPr>
          <w:rFonts w:ascii="Times New Roman" w:eastAsia="Times New Roman" w:hAnsi="Times New Roman" w:cs="Times New Roman"/>
          <w:sz w:val="24"/>
          <w:szCs w:val="24"/>
        </w:rPr>
        <w:t>Drehmann</w:t>
      </w:r>
      <w:proofErr w:type="spellEnd"/>
      <w:r w:rsidRPr="00561652">
        <w:rPr>
          <w:rFonts w:ascii="Times New Roman" w:eastAsia="Times New Roman" w:hAnsi="Times New Roman" w:cs="Times New Roman"/>
          <w:sz w:val="24"/>
          <w:szCs w:val="24"/>
        </w:rPr>
        <w:t xml:space="preserve"> (2009). (Box A explains the relationship between this criterion and the ROC curve.)</w:t>
      </w:r>
    </w:p>
    <w:p w:rsidR="002722B1" w:rsidRPr="00561652" w:rsidRDefault="005669F9" w:rsidP="006D4680">
      <w:pPr>
        <w:rPr>
          <w:rFonts w:ascii="Times New Roman" w:eastAsia="Times New Roman" w:hAnsi="Times New Roman" w:cs="Times New Roman"/>
          <w:b/>
          <w:sz w:val="24"/>
          <w:szCs w:val="24"/>
        </w:rPr>
      </w:pPr>
      <w:r w:rsidRPr="00561652">
        <w:rPr>
          <w:rFonts w:ascii="Times New Roman" w:hAnsi="Times New Roman" w:cs="Times New Roman"/>
          <w:b/>
          <w:sz w:val="24"/>
          <w:szCs w:val="24"/>
        </w:rPr>
        <w:lastRenderedPageBreak/>
        <w:t xml:space="preserve">Standalone </w:t>
      </w:r>
      <w:r w:rsidRPr="00561652">
        <w:rPr>
          <w:rFonts w:ascii="Times New Roman" w:hAnsi="Times New Roman" w:cs="Times New Roman"/>
          <w:b/>
          <w:sz w:val="24"/>
          <w:szCs w:val="24"/>
        </w:rPr>
        <w:t>indicators</w:t>
      </w:r>
    </w:p>
    <w:p w:rsidR="006D4680" w:rsidRPr="00561652" w:rsidRDefault="006D4680" w:rsidP="006D4680">
      <w:pPr>
        <w:rPr>
          <w:rFonts w:ascii="Times New Roman" w:eastAsia="Times New Roman" w:hAnsi="Times New Roman" w:cs="Times New Roman"/>
          <w:sz w:val="24"/>
          <w:szCs w:val="24"/>
        </w:rPr>
      </w:pPr>
      <w:r w:rsidRPr="00561652">
        <w:rPr>
          <w:rFonts w:ascii="Times New Roman" w:eastAsia="Times New Roman" w:hAnsi="Times New Roman" w:cs="Times New Roman"/>
          <w:sz w:val="24"/>
          <w:szCs w:val="24"/>
        </w:rPr>
        <w:t>We proceed in two steps to evaluate and compare the performance of the indicators on their own. To begin, we use the AUC criterion to assess their general information content. The indicators are then evaluated from an operational standpoint by analyzing optimal thresholds based on specific preferences.</w:t>
      </w:r>
    </w:p>
    <w:p w:rsidR="006D4680" w:rsidRPr="00561652" w:rsidRDefault="006D4680" w:rsidP="006D4680">
      <w:pPr>
        <w:rPr>
          <w:rFonts w:ascii="Times New Roman" w:eastAsia="Times New Roman" w:hAnsi="Times New Roman" w:cs="Times New Roman"/>
          <w:sz w:val="24"/>
          <w:szCs w:val="24"/>
        </w:rPr>
      </w:pPr>
      <w:r w:rsidRPr="00561652">
        <w:rPr>
          <w:rFonts w:ascii="Times New Roman" w:eastAsia="Times New Roman" w:hAnsi="Times New Roman" w:cs="Times New Roman"/>
          <w:sz w:val="24"/>
          <w:szCs w:val="24"/>
        </w:rPr>
        <w:t>We do so by comparing two samples: the full sample available for each indicator and the much smaller common sample. The common sample allows us to compare like with like, but it significantly reduces our sample size. As a result, we also use the entire sample available for each indicator as a comparison.</w:t>
      </w:r>
      <w:r w:rsidRPr="00561652">
        <w:rPr>
          <w:rFonts w:ascii="Times New Roman" w:hAnsi="Times New Roman" w:cs="Times New Roman"/>
          <w:sz w:val="24"/>
          <w:szCs w:val="24"/>
        </w:rPr>
        <w:t xml:space="preserve"> </w:t>
      </w:r>
      <w:r w:rsidRPr="00561652">
        <w:rPr>
          <w:rFonts w:ascii="Times New Roman" w:eastAsia="Times New Roman" w:hAnsi="Times New Roman" w:cs="Times New Roman"/>
          <w:sz w:val="24"/>
          <w:szCs w:val="24"/>
        </w:rPr>
        <w:t>Despite our efforts to gather as much data as possible, predicting crises inevitably entails predicting rare events. The credit-to-GDP gap has the best data coverage. Even so, we only cover 30 crises. The common sample includes 19 episodes, 12 of which are associated with the Great Financial Crisis (GFC). Furthermore, the data set is skewed toward advanced economies. As a result, using the entire sample available for each indicator is critical for robustness. We only report this for the threshold analysis for the sake of brevity. Furthermore, we performed robustness checks, which are not reported here, by running the statistical tests on pre- and post-2000 subsamples to ensure that the GFC did not influence the results.</w:t>
      </w:r>
    </w:p>
    <w:p w:rsidR="006D4680" w:rsidRPr="00561652" w:rsidRDefault="006D4680" w:rsidP="006D4680">
      <w:pPr>
        <w:rPr>
          <w:rFonts w:ascii="Times New Roman" w:hAnsi="Times New Roman" w:cs="Times New Roman"/>
          <w:b/>
          <w:sz w:val="24"/>
          <w:szCs w:val="24"/>
        </w:rPr>
      </w:pPr>
      <w:r w:rsidRPr="00561652">
        <w:rPr>
          <w:rFonts w:ascii="Times New Roman" w:hAnsi="Times New Roman" w:cs="Times New Roman"/>
          <w:b/>
          <w:sz w:val="24"/>
          <w:szCs w:val="24"/>
        </w:rPr>
        <w:t>Combined indicators</w:t>
      </w:r>
    </w:p>
    <w:p w:rsidR="006D4680" w:rsidRPr="00561652" w:rsidRDefault="006D4680" w:rsidP="006D4680">
      <w:pPr>
        <w:rPr>
          <w:rFonts w:ascii="Times New Roman" w:eastAsia="Times New Roman" w:hAnsi="Times New Roman" w:cs="Times New Roman"/>
          <w:sz w:val="24"/>
          <w:szCs w:val="24"/>
        </w:rPr>
      </w:pPr>
      <w:r w:rsidRPr="00561652">
        <w:rPr>
          <w:rFonts w:ascii="Times New Roman" w:eastAsia="Times New Roman" w:hAnsi="Times New Roman" w:cs="Times New Roman"/>
          <w:sz w:val="24"/>
          <w:szCs w:val="24"/>
        </w:rPr>
        <w:t>Previous research has shown that combining data from the credit and asset markets to create composite indicators can improve performance. This is understandable given that financial booms are characterized by both exuberant credit growth and buoyant asset prices. Given the position.</w:t>
      </w:r>
      <w:r w:rsidRPr="00561652">
        <w:rPr>
          <w:rFonts w:ascii="Times New Roman" w:hAnsi="Times New Roman" w:cs="Times New Roman"/>
          <w:sz w:val="24"/>
          <w:szCs w:val="24"/>
        </w:rPr>
        <w:t xml:space="preserve"> </w:t>
      </w:r>
      <w:r w:rsidRPr="00561652">
        <w:rPr>
          <w:rFonts w:ascii="Times New Roman" w:eastAsia="Times New Roman" w:hAnsi="Times New Roman" w:cs="Times New Roman"/>
          <w:sz w:val="24"/>
          <w:szCs w:val="24"/>
        </w:rPr>
        <w:t>Despite their poor performance as collateral, the literature has highlighted how residential property pric</w:t>
      </w:r>
      <w:r w:rsidRPr="00561652">
        <w:rPr>
          <w:rFonts w:ascii="Times New Roman" w:eastAsia="Times New Roman" w:hAnsi="Times New Roman" w:cs="Times New Roman"/>
          <w:sz w:val="24"/>
          <w:szCs w:val="24"/>
        </w:rPr>
        <w:t xml:space="preserve">es amplify the financial </w:t>
      </w:r>
      <w:proofErr w:type="spellStart"/>
      <w:r w:rsidRPr="00561652">
        <w:rPr>
          <w:rFonts w:ascii="Times New Roman" w:eastAsia="Times New Roman" w:hAnsi="Times New Roman" w:cs="Times New Roman"/>
          <w:sz w:val="24"/>
          <w:szCs w:val="24"/>
        </w:rPr>
        <w:t>cycle.</w:t>
      </w:r>
      <w:r w:rsidRPr="00561652">
        <w:rPr>
          <w:rFonts w:ascii="Times New Roman" w:eastAsia="Times New Roman" w:hAnsi="Times New Roman" w:cs="Times New Roman"/>
          <w:sz w:val="24"/>
          <w:szCs w:val="24"/>
        </w:rPr>
        <w:t>As</w:t>
      </w:r>
      <w:proofErr w:type="spellEnd"/>
      <w:r w:rsidRPr="00561652">
        <w:rPr>
          <w:rFonts w:ascii="Times New Roman" w:eastAsia="Times New Roman" w:hAnsi="Times New Roman" w:cs="Times New Roman"/>
          <w:sz w:val="24"/>
          <w:szCs w:val="24"/>
        </w:rPr>
        <w:t xml:space="preserve"> a result, we derive optimal thresholds for</w:t>
      </w:r>
      <w:r w:rsidRPr="00561652">
        <w:rPr>
          <w:rFonts w:ascii="Times New Roman" w:eastAsia="Times New Roman" w:hAnsi="Times New Roman" w:cs="Times New Roman"/>
          <w:sz w:val="24"/>
          <w:szCs w:val="24"/>
        </w:rPr>
        <w:t xml:space="preserve"> debt variable combinations and </w:t>
      </w:r>
      <w:r w:rsidRPr="00561652">
        <w:rPr>
          <w:rFonts w:ascii="Times New Roman" w:eastAsia="Times New Roman" w:hAnsi="Times New Roman" w:cs="Times New Roman"/>
          <w:sz w:val="24"/>
          <w:szCs w:val="24"/>
        </w:rPr>
        <w:t>Property values We use the same reasoning as before. However, in order for</w:t>
      </w:r>
      <w:r w:rsidRPr="00561652">
        <w:rPr>
          <w:rFonts w:ascii="Times New Roman" w:eastAsia="Times New Roman" w:hAnsi="Times New Roman" w:cs="Times New Roman"/>
          <w:sz w:val="24"/>
          <w:szCs w:val="24"/>
        </w:rPr>
        <w:t xml:space="preserve"> a warning signal to be </w:t>
      </w:r>
      <w:proofErr w:type="spellStart"/>
      <w:r w:rsidRPr="00561652">
        <w:rPr>
          <w:rFonts w:ascii="Times New Roman" w:eastAsia="Times New Roman" w:hAnsi="Times New Roman" w:cs="Times New Roman"/>
          <w:sz w:val="24"/>
          <w:szCs w:val="24"/>
        </w:rPr>
        <w:t>issued,</w:t>
      </w:r>
      <w:r w:rsidRPr="00561652">
        <w:rPr>
          <w:rFonts w:ascii="Times New Roman" w:eastAsia="Times New Roman" w:hAnsi="Times New Roman" w:cs="Times New Roman"/>
          <w:sz w:val="24"/>
          <w:szCs w:val="24"/>
        </w:rPr>
        <w:t>We</w:t>
      </w:r>
      <w:proofErr w:type="spellEnd"/>
      <w:r w:rsidRPr="00561652">
        <w:rPr>
          <w:rFonts w:ascii="Times New Roman" w:eastAsia="Times New Roman" w:hAnsi="Times New Roman" w:cs="Times New Roman"/>
          <w:sz w:val="24"/>
          <w:szCs w:val="24"/>
        </w:rPr>
        <w:t xml:space="preserve"> now require that I the debt indicator has </w:t>
      </w:r>
      <w:r w:rsidRPr="00561652">
        <w:rPr>
          <w:rFonts w:ascii="Times New Roman" w:eastAsia="Times New Roman" w:hAnsi="Times New Roman" w:cs="Times New Roman"/>
          <w:sz w:val="24"/>
          <w:szCs w:val="24"/>
        </w:rPr>
        <w:t>exceeded the threshold and (ii)</w:t>
      </w:r>
      <w:r w:rsidRPr="00561652">
        <w:rPr>
          <w:rFonts w:ascii="Times New Roman" w:eastAsia="Times New Roman" w:hAnsi="Times New Roman" w:cs="Times New Roman"/>
          <w:sz w:val="24"/>
          <w:szCs w:val="24"/>
        </w:rPr>
        <w:t>(ii) the property price disparity was greater than 11 in the 12</w:t>
      </w:r>
      <w:r w:rsidRPr="00561652">
        <w:rPr>
          <w:rFonts w:ascii="Times New Roman" w:eastAsia="Times New Roman" w:hAnsi="Times New Roman" w:cs="Times New Roman"/>
          <w:sz w:val="24"/>
          <w:szCs w:val="24"/>
        </w:rPr>
        <w:t xml:space="preserve"> quarters preceding the </w:t>
      </w:r>
      <w:proofErr w:type="spellStart"/>
      <w:r w:rsidRPr="00561652">
        <w:rPr>
          <w:rFonts w:ascii="Times New Roman" w:eastAsia="Times New Roman" w:hAnsi="Times New Roman" w:cs="Times New Roman"/>
          <w:sz w:val="24"/>
          <w:szCs w:val="24"/>
        </w:rPr>
        <w:t>breach</w:t>
      </w:r>
      <w:r w:rsidRPr="00561652">
        <w:rPr>
          <w:rFonts w:ascii="Times New Roman" w:eastAsia="Times New Roman" w:hAnsi="Times New Roman" w:cs="Times New Roman"/>
          <w:sz w:val="24"/>
          <w:szCs w:val="24"/>
        </w:rPr>
        <w:t>We</w:t>
      </w:r>
      <w:proofErr w:type="spellEnd"/>
      <w:r w:rsidRPr="00561652">
        <w:rPr>
          <w:rFonts w:ascii="Times New Roman" w:eastAsia="Times New Roman" w:hAnsi="Times New Roman" w:cs="Times New Roman"/>
          <w:sz w:val="24"/>
          <w:szCs w:val="24"/>
        </w:rPr>
        <w:t xml:space="preserve"> chose 11 as the single critical thresh</w:t>
      </w:r>
      <w:r w:rsidRPr="00561652">
        <w:rPr>
          <w:rFonts w:ascii="Times New Roman" w:eastAsia="Times New Roman" w:hAnsi="Times New Roman" w:cs="Times New Roman"/>
          <w:sz w:val="24"/>
          <w:szCs w:val="24"/>
        </w:rPr>
        <w:t xml:space="preserve">old obtained for this </w:t>
      </w:r>
      <w:proofErr w:type="spellStart"/>
      <w:r w:rsidRPr="00561652">
        <w:rPr>
          <w:rFonts w:ascii="Times New Roman" w:eastAsia="Times New Roman" w:hAnsi="Times New Roman" w:cs="Times New Roman"/>
          <w:sz w:val="24"/>
          <w:szCs w:val="24"/>
        </w:rPr>
        <w:t>variable.</w:t>
      </w:r>
      <w:r w:rsidRPr="00561652">
        <w:rPr>
          <w:rFonts w:ascii="Times New Roman" w:eastAsia="Times New Roman" w:hAnsi="Times New Roman" w:cs="Times New Roman"/>
          <w:sz w:val="24"/>
          <w:szCs w:val="24"/>
        </w:rPr>
        <w:t>based</w:t>
      </w:r>
      <w:proofErr w:type="spellEnd"/>
      <w:r w:rsidRPr="00561652">
        <w:rPr>
          <w:rFonts w:ascii="Times New Roman" w:eastAsia="Times New Roman" w:hAnsi="Times New Roman" w:cs="Times New Roman"/>
          <w:sz w:val="24"/>
          <w:szCs w:val="24"/>
        </w:rPr>
        <w:t xml:space="preserve"> on accurately predicting at least two-thirds of the crises</w:t>
      </w:r>
    </w:p>
    <w:p w:rsidR="00561652" w:rsidRPr="00561652" w:rsidRDefault="00561652" w:rsidP="006D4680">
      <w:pPr>
        <w:rPr>
          <w:rFonts w:ascii="Times New Roman" w:hAnsi="Times New Roman" w:cs="Times New Roman"/>
          <w:b/>
          <w:sz w:val="24"/>
          <w:szCs w:val="24"/>
        </w:rPr>
      </w:pPr>
      <w:r w:rsidRPr="00561652">
        <w:rPr>
          <w:rFonts w:ascii="Times New Roman" w:hAnsi="Times New Roman" w:cs="Times New Roman"/>
          <w:b/>
          <w:sz w:val="24"/>
          <w:szCs w:val="24"/>
        </w:rPr>
        <w:t>Conclusion</w:t>
      </w:r>
    </w:p>
    <w:p w:rsidR="00561652" w:rsidRPr="00561652" w:rsidRDefault="00561652" w:rsidP="006D4680">
      <w:pPr>
        <w:rPr>
          <w:rFonts w:ascii="Times New Roman" w:hAnsi="Times New Roman" w:cs="Times New Roman"/>
          <w:sz w:val="24"/>
          <w:szCs w:val="24"/>
        </w:rPr>
      </w:pPr>
      <w:r w:rsidRPr="00561652">
        <w:rPr>
          <w:rFonts w:ascii="Times New Roman" w:eastAsia="Times New Roman" w:hAnsi="Times New Roman" w:cs="Times New Roman"/>
          <w:sz w:val="24"/>
          <w:szCs w:val="24"/>
        </w:rPr>
        <w:t>The performance of household and international debt as EWIs for banking distress has been formally assessed in this special feature. These variables, like their more widely used counterparts based on aggregate debt, are discovered to contain useful information about banking system vulnerabilities. The household debt service ratio stands out among the household-based indicators. Cross-border claims outperform foreign currency debt in terms of international debt indicators.</w:t>
      </w:r>
      <w:r w:rsidRPr="00561652">
        <w:rPr>
          <w:rFonts w:ascii="Times New Roman" w:hAnsi="Times New Roman" w:cs="Times New Roman"/>
          <w:sz w:val="24"/>
          <w:szCs w:val="24"/>
        </w:rPr>
        <w:t xml:space="preserve"> </w:t>
      </w:r>
      <w:r w:rsidRPr="00561652">
        <w:rPr>
          <w:rFonts w:ascii="Times New Roman" w:eastAsia="Times New Roman" w:hAnsi="Times New Roman" w:cs="Times New Roman"/>
          <w:sz w:val="24"/>
          <w:szCs w:val="24"/>
        </w:rPr>
        <w:t>At the same time, it is critical to consider data limitations when evaluating these results. Even in samples with high data coverage, crises are uncommon. And they become "rarer" for samples that include household or foreign currency debt. This precludes a more in-depth, robust analysis of EMEs in particular. More precise comparisons and inferences would necessitate overcoming these constraints. As a result, improving data is an area that deserves more attention.</w:t>
      </w:r>
    </w:p>
    <w:sectPr w:rsidR="00561652" w:rsidRPr="00561652" w:rsidSect="00FB7BE0">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3C1105"/>
    <w:multiLevelType w:val="hybridMultilevel"/>
    <w:tmpl w:val="316677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BE0"/>
    <w:rsid w:val="00016F24"/>
    <w:rsid w:val="0002376E"/>
    <w:rsid w:val="000A2BEE"/>
    <w:rsid w:val="000E263F"/>
    <w:rsid w:val="0010557B"/>
    <w:rsid w:val="001A69EF"/>
    <w:rsid w:val="001D6270"/>
    <w:rsid w:val="0020243D"/>
    <w:rsid w:val="00234F38"/>
    <w:rsid w:val="0024283A"/>
    <w:rsid w:val="00247052"/>
    <w:rsid w:val="002560B0"/>
    <w:rsid w:val="002656B0"/>
    <w:rsid w:val="002722B1"/>
    <w:rsid w:val="002C0B44"/>
    <w:rsid w:val="00345A07"/>
    <w:rsid w:val="00407786"/>
    <w:rsid w:val="00472284"/>
    <w:rsid w:val="004B18DA"/>
    <w:rsid w:val="00525BF6"/>
    <w:rsid w:val="0055269C"/>
    <w:rsid w:val="00561652"/>
    <w:rsid w:val="005669F9"/>
    <w:rsid w:val="00572B75"/>
    <w:rsid w:val="005774CF"/>
    <w:rsid w:val="00642524"/>
    <w:rsid w:val="00676CE0"/>
    <w:rsid w:val="006B30FE"/>
    <w:rsid w:val="006D4680"/>
    <w:rsid w:val="006F3BF2"/>
    <w:rsid w:val="00702D75"/>
    <w:rsid w:val="0070404A"/>
    <w:rsid w:val="00734859"/>
    <w:rsid w:val="00763448"/>
    <w:rsid w:val="007D4B17"/>
    <w:rsid w:val="00804206"/>
    <w:rsid w:val="00874EE9"/>
    <w:rsid w:val="008C0F3D"/>
    <w:rsid w:val="008F1270"/>
    <w:rsid w:val="009E7D98"/>
    <w:rsid w:val="00A7050E"/>
    <w:rsid w:val="00A748D6"/>
    <w:rsid w:val="00AD7A6A"/>
    <w:rsid w:val="00B02BE2"/>
    <w:rsid w:val="00B46150"/>
    <w:rsid w:val="00B63E15"/>
    <w:rsid w:val="00BC2AB8"/>
    <w:rsid w:val="00C1574A"/>
    <w:rsid w:val="00D72458"/>
    <w:rsid w:val="00D827D3"/>
    <w:rsid w:val="00DD0834"/>
    <w:rsid w:val="00E62892"/>
    <w:rsid w:val="00EB4495"/>
    <w:rsid w:val="00F36653"/>
    <w:rsid w:val="00F41138"/>
    <w:rsid w:val="00F46949"/>
    <w:rsid w:val="00F56E8F"/>
    <w:rsid w:val="00FB2E7A"/>
    <w:rsid w:val="00FB7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8A598"/>
  <w15:chartTrackingRefBased/>
  <w15:docId w15:val="{F299CDAC-732D-4107-AFC3-D1F4EE65E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57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7615">
      <w:bodyDiv w:val="1"/>
      <w:marLeft w:val="0"/>
      <w:marRight w:val="0"/>
      <w:marTop w:val="0"/>
      <w:marBottom w:val="0"/>
      <w:divBdr>
        <w:top w:val="none" w:sz="0" w:space="0" w:color="auto"/>
        <w:left w:val="none" w:sz="0" w:space="0" w:color="auto"/>
        <w:bottom w:val="none" w:sz="0" w:space="0" w:color="auto"/>
        <w:right w:val="none" w:sz="0" w:space="0" w:color="auto"/>
      </w:divBdr>
    </w:div>
    <w:div w:id="60829588">
      <w:bodyDiv w:val="1"/>
      <w:marLeft w:val="0"/>
      <w:marRight w:val="0"/>
      <w:marTop w:val="0"/>
      <w:marBottom w:val="0"/>
      <w:divBdr>
        <w:top w:val="none" w:sz="0" w:space="0" w:color="auto"/>
        <w:left w:val="none" w:sz="0" w:space="0" w:color="auto"/>
        <w:bottom w:val="none" w:sz="0" w:space="0" w:color="auto"/>
        <w:right w:val="none" w:sz="0" w:space="0" w:color="auto"/>
      </w:divBdr>
    </w:div>
    <w:div w:id="65225423">
      <w:bodyDiv w:val="1"/>
      <w:marLeft w:val="0"/>
      <w:marRight w:val="0"/>
      <w:marTop w:val="0"/>
      <w:marBottom w:val="0"/>
      <w:divBdr>
        <w:top w:val="none" w:sz="0" w:space="0" w:color="auto"/>
        <w:left w:val="none" w:sz="0" w:space="0" w:color="auto"/>
        <w:bottom w:val="none" w:sz="0" w:space="0" w:color="auto"/>
        <w:right w:val="none" w:sz="0" w:space="0" w:color="auto"/>
      </w:divBdr>
    </w:div>
    <w:div w:id="65809793">
      <w:bodyDiv w:val="1"/>
      <w:marLeft w:val="0"/>
      <w:marRight w:val="0"/>
      <w:marTop w:val="0"/>
      <w:marBottom w:val="0"/>
      <w:divBdr>
        <w:top w:val="none" w:sz="0" w:space="0" w:color="auto"/>
        <w:left w:val="none" w:sz="0" w:space="0" w:color="auto"/>
        <w:bottom w:val="none" w:sz="0" w:space="0" w:color="auto"/>
        <w:right w:val="none" w:sz="0" w:space="0" w:color="auto"/>
      </w:divBdr>
    </w:div>
    <w:div w:id="74792472">
      <w:bodyDiv w:val="1"/>
      <w:marLeft w:val="0"/>
      <w:marRight w:val="0"/>
      <w:marTop w:val="0"/>
      <w:marBottom w:val="0"/>
      <w:divBdr>
        <w:top w:val="none" w:sz="0" w:space="0" w:color="auto"/>
        <w:left w:val="none" w:sz="0" w:space="0" w:color="auto"/>
        <w:bottom w:val="none" w:sz="0" w:space="0" w:color="auto"/>
        <w:right w:val="none" w:sz="0" w:space="0" w:color="auto"/>
      </w:divBdr>
    </w:div>
    <w:div w:id="110244365">
      <w:bodyDiv w:val="1"/>
      <w:marLeft w:val="0"/>
      <w:marRight w:val="0"/>
      <w:marTop w:val="0"/>
      <w:marBottom w:val="0"/>
      <w:divBdr>
        <w:top w:val="none" w:sz="0" w:space="0" w:color="auto"/>
        <w:left w:val="none" w:sz="0" w:space="0" w:color="auto"/>
        <w:bottom w:val="none" w:sz="0" w:space="0" w:color="auto"/>
        <w:right w:val="none" w:sz="0" w:space="0" w:color="auto"/>
      </w:divBdr>
    </w:div>
    <w:div w:id="130637488">
      <w:bodyDiv w:val="1"/>
      <w:marLeft w:val="0"/>
      <w:marRight w:val="0"/>
      <w:marTop w:val="0"/>
      <w:marBottom w:val="0"/>
      <w:divBdr>
        <w:top w:val="none" w:sz="0" w:space="0" w:color="auto"/>
        <w:left w:val="none" w:sz="0" w:space="0" w:color="auto"/>
        <w:bottom w:val="none" w:sz="0" w:space="0" w:color="auto"/>
        <w:right w:val="none" w:sz="0" w:space="0" w:color="auto"/>
      </w:divBdr>
    </w:div>
    <w:div w:id="167210970">
      <w:bodyDiv w:val="1"/>
      <w:marLeft w:val="0"/>
      <w:marRight w:val="0"/>
      <w:marTop w:val="0"/>
      <w:marBottom w:val="0"/>
      <w:divBdr>
        <w:top w:val="none" w:sz="0" w:space="0" w:color="auto"/>
        <w:left w:val="none" w:sz="0" w:space="0" w:color="auto"/>
        <w:bottom w:val="none" w:sz="0" w:space="0" w:color="auto"/>
        <w:right w:val="none" w:sz="0" w:space="0" w:color="auto"/>
      </w:divBdr>
    </w:div>
    <w:div w:id="182015374">
      <w:bodyDiv w:val="1"/>
      <w:marLeft w:val="0"/>
      <w:marRight w:val="0"/>
      <w:marTop w:val="0"/>
      <w:marBottom w:val="0"/>
      <w:divBdr>
        <w:top w:val="none" w:sz="0" w:space="0" w:color="auto"/>
        <w:left w:val="none" w:sz="0" w:space="0" w:color="auto"/>
        <w:bottom w:val="none" w:sz="0" w:space="0" w:color="auto"/>
        <w:right w:val="none" w:sz="0" w:space="0" w:color="auto"/>
      </w:divBdr>
    </w:div>
    <w:div w:id="223837589">
      <w:bodyDiv w:val="1"/>
      <w:marLeft w:val="0"/>
      <w:marRight w:val="0"/>
      <w:marTop w:val="0"/>
      <w:marBottom w:val="0"/>
      <w:divBdr>
        <w:top w:val="none" w:sz="0" w:space="0" w:color="auto"/>
        <w:left w:val="none" w:sz="0" w:space="0" w:color="auto"/>
        <w:bottom w:val="none" w:sz="0" w:space="0" w:color="auto"/>
        <w:right w:val="none" w:sz="0" w:space="0" w:color="auto"/>
      </w:divBdr>
    </w:div>
    <w:div w:id="231085576">
      <w:bodyDiv w:val="1"/>
      <w:marLeft w:val="0"/>
      <w:marRight w:val="0"/>
      <w:marTop w:val="0"/>
      <w:marBottom w:val="0"/>
      <w:divBdr>
        <w:top w:val="none" w:sz="0" w:space="0" w:color="auto"/>
        <w:left w:val="none" w:sz="0" w:space="0" w:color="auto"/>
        <w:bottom w:val="none" w:sz="0" w:space="0" w:color="auto"/>
        <w:right w:val="none" w:sz="0" w:space="0" w:color="auto"/>
      </w:divBdr>
    </w:div>
    <w:div w:id="280114093">
      <w:bodyDiv w:val="1"/>
      <w:marLeft w:val="0"/>
      <w:marRight w:val="0"/>
      <w:marTop w:val="0"/>
      <w:marBottom w:val="0"/>
      <w:divBdr>
        <w:top w:val="none" w:sz="0" w:space="0" w:color="auto"/>
        <w:left w:val="none" w:sz="0" w:space="0" w:color="auto"/>
        <w:bottom w:val="none" w:sz="0" w:space="0" w:color="auto"/>
        <w:right w:val="none" w:sz="0" w:space="0" w:color="auto"/>
      </w:divBdr>
    </w:div>
    <w:div w:id="292566796">
      <w:bodyDiv w:val="1"/>
      <w:marLeft w:val="0"/>
      <w:marRight w:val="0"/>
      <w:marTop w:val="0"/>
      <w:marBottom w:val="0"/>
      <w:divBdr>
        <w:top w:val="none" w:sz="0" w:space="0" w:color="auto"/>
        <w:left w:val="none" w:sz="0" w:space="0" w:color="auto"/>
        <w:bottom w:val="none" w:sz="0" w:space="0" w:color="auto"/>
        <w:right w:val="none" w:sz="0" w:space="0" w:color="auto"/>
      </w:divBdr>
    </w:div>
    <w:div w:id="338654090">
      <w:bodyDiv w:val="1"/>
      <w:marLeft w:val="0"/>
      <w:marRight w:val="0"/>
      <w:marTop w:val="0"/>
      <w:marBottom w:val="0"/>
      <w:divBdr>
        <w:top w:val="none" w:sz="0" w:space="0" w:color="auto"/>
        <w:left w:val="none" w:sz="0" w:space="0" w:color="auto"/>
        <w:bottom w:val="none" w:sz="0" w:space="0" w:color="auto"/>
        <w:right w:val="none" w:sz="0" w:space="0" w:color="auto"/>
      </w:divBdr>
    </w:div>
    <w:div w:id="360398600">
      <w:bodyDiv w:val="1"/>
      <w:marLeft w:val="0"/>
      <w:marRight w:val="0"/>
      <w:marTop w:val="0"/>
      <w:marBottom w:val="0"/>
      <w:divBdr>
        <w:top w:val="none" w:sz="0" w:space="0" w:color="auto"/>
        <w:left w:val="none" w:sz="0" w:space="0" w:color="auto"/>
        <w:bottom w:val="none" w:sz="0" w:space="0" w:color="auto"/>
        <w:right w:val="none" w:sz="0" w:space="0" w:color="auto"/>
      </w:divBdr>
    </w:div>
    <w:div w:id="368921677">
      <w:bodyDiv w:val="1"/>
      <w:marLeft w:val="0"/>
      <w:marRight w:val="0"/>
      <w:marTop w:val="0"/>
      <w:marBottom w:val="0"/>
      <w:divBdr>
        <w:top w:val="none" w:sz="0" w:space="0" w:color="auto"/>
        <w:left w:val="none" w:sz="0" w:space="0" w:color="auto"/>
        <w:bottom w:val="none" w:sz="0" w:space="0" w:color="auto"/>
        <w:right w:val="none" w:sz="0" w:space="0" w:color="auto"/>
      </w:divBdr>
    </w:div>
    <w:div w:id="370152840">
      <w:bodyDiv w:val="1"/>
      <w:marLeft w:val="0"/>
      <w:marRight w:val="0"/>
      <w:marTop w:val="0"/>
      <w:marBottom w:val="0"/>
      <w:divBdr>
        <w:top w:val="none" w:sz="0" w:space="0" w:color="auto"/>
        <w:left w:val="none" w:sz="0" w:space="0" w:color="auto"/>
        <w:bottom w:val="none" w:sz="0" w:space="0" w:color="auto"/>
        <w:right w:val="none" w:sz="0" w:space="0" w:color="auto"/>
      </w:divBdr>
    </w:div>
    <w:div w:id="444929372">
      <w:bodyDiv w:val="1"/>
      <w:marLeft w:val="0"/>
      <w:marRight w:val="0"/>
      <w:marTop w:val="0"/>
      <w:marBottom w:val="0"/>
      <w:divBdr>
        <w:top w:val="none" w:sz="0" w:space="0" w:color="auto"/>
        <w:left w:val="none" w:sz="0" w:space="0" w:color="auto"/>
        <w:bottom w:val="none" w:sz="0" w:space="0" w:color="auto"/>
        <w:right w:val="none" w:sz="0" w:space="0" w:color="auto"/>
      </w:divBdr>
    </w:div>
    <w:div w:id="457989548">
      <w:bodyDiv w:val="1"/>
      <w:marLeft w:val="0"/>
      <w:marRight w:val="0"/>
      <w:marTop w:val="0"/>
      <w:marBottom w:val="0"/>
      <w:divBdr>
        <w:top w:val="none" w:sz="0" w:space="0" w:color="auto"/>
        <w:left w:val="none" w:sz="0" w:space="0" w:color="auto"/>
        <w:bottom w:val="none" w:sz="0" w:space="0" w:color="auto"/>
        <w:right w:val="none" w:sz="0" w:space="0" w:color="auto"/>
      </w:divBdr>
    </w:div>
    <w:div w:id="477453055">
      <w:bodyDiv w:val="1"/>
      <w:marLeft w:val="0"/>
      <w:marRight w:val="0"/>
      <w:marTop w:val="0"/>
      <w:marBottom w:val="0"/>
      <w:divBdr>
        <w:top w:val="none" w:sz="0" w:space="0" w:color="auto"/>
        <w:left w:val="none" w:sz="0" w:space="0" w:color="auto"/>
        <w:bottom w:val="none" w:sz="0" w:space="0" w:color="auto"/>
        <w:right w:val="none" w:sz="0" w:space="0" w:color="auto"/>
      </w:divBdr>
    </w:div>
    <w:div w:id="517164712">
      <w:bodyDiv w:val="1"/>
      <w:marLeft w:val="0"/>
      <w:marRight w:val="0"/>
      <w:marTop w:val="0"/>
      <w:marBottom w:val="0"/>
      <w:divBdr>
        <w:top w:val="none" w:sz="0" w:space="0" w:color="auto"/>
        <w:left w:val="none" w:sz="0" w:space="0" w:color="auto"/>
        <w:bottom w:val="none" w:sz="0" w:space="0" w:color="auto"/>
        <w:right w:val="none" w:sz="0" w:space="0" w:color="auto"/>
      </w:divBdr>
    </w:div>
    <w:div w:id="517276099">
      <w:bodyDiv w:val="1"/>
      <w:marLeft w:val="0"/>
      <w:marRight w:val="0"/>
      <w:marTop w:val="0"/>
      <w:marBottom w:val="0"/>
      <w:divBdr>
        <w:top w:val="none" w:sz="0" w:space="0" w:color="auto"/>
        <w:left w:val="none" w:sz="0" w:space="0" w:color="auto"/>
        <w:bottom w:val="none" w:sz="0" w:space="0" w:color="auto"/>
        <w:right w:val="none" w:sz="0" w:space="0" w:color="auto"/>
      </w:divBdr>
    </w:div>
    <w:div w:id="518351461">
      <w:bodyDiv w:val="1"/>
      <w:marLeft w:val="0"/>
      <w:marRight w:val="0"/>
      <w:marTop w:val="0"/>
      <w:marBottom w:val="0"/>
      <w:divBdr>
        <w:top w:val="none" w:sz="0" w:space="0" w:color="auto"/>
        <w:left w:val="none" w:sz="0" w:space="0" w:color="auto"/>
        <w:bottom w:val="none" w:sz="0" w:space="0" w:color="auto"/>
        <w:right w:val="none" w:sz="0" w:space="0" w:color="auto"/>
      </w:divBdr>
    </w:div>
    <w:div w:id="573591023">
      <w:bodyDiv w:val="1"/>
      <w:marLeft w:val="0"/>
      <w:marRight w:val="0"/>
      <w:marTop w:val="0"/>
      <w:marBottom w:val="0"/>
      <w:divBdr>
        <w:top w:val="none" w:sz="0" w:space="0" w:color="auto"/>
        <w:left w:val="none" w:sz="0" w:space="0" w:color="auto"/>
        <w:bottom w:val="none" w:sz="0" w:space="0" w:color="auto"/>
        <w:right w:val="none" w:sz="0" w:space="0" w:color="auto"/>
      </w:divBdr>
    </w:div>
    <w:div w:id="594824916">
      <w:bodyDiv w:val="1"/>
      <w:marLeft w:val="0"/>
      <w:marRight w:val="0"/>
      <w:marTop w:val="0"/>
      <w:marBottom w:val="0"/>
      <w:divBdr>
        <w:top w:val="none" w:sz="0" w:space="0" w:color="auto"/>
        <w:left w:val="none" w:sz="0" w:space="0" w:color="auto"/>
        <w:bottom w:val="none" w:sz="0" w:space="0" w:color="auto"/>
        <w:right w:val="none" w:sz="0" w:space="0" w:color="auto"/>
      </w:divBdr>
    </w:div>
    <w:div w:id="636959048">
      <w:bodyDiv w:val="1"/>
      <w:marLeft w:val="0"/>
      <w:marRight w:val="0"/>
      <w:marTop w:val="0"/>
      <w:marBottom w:val="0"/>
      <w:divBdr>
        <w:top w:val="none" w:sz="0" w:space="0" w:color="auto"/>
        <w:left w:val="none" w:sz="0" w:space="0" w:color="auto"/>
        <w:bottom w:val="none" w:sz="0" w:space="0" w:color="auto"/>
        <w:right w:val="none" w:sz="0" w:space="0" w:color="auto"/>
      </w:divBdr>
    </w:div>
    <w:div w:id="668101067">
      <w:bodyDiv w:val="1"/>
      <w:marLeft w:val="0"/>
      <w:marRight w:val="0"/>
      <w:marTop w:val="0"/>
      <w:marBottom w:val="0"/>
      <w:divBdr>
        <w:top w:val="none" w:sz="0" w:space="0" w:color="auto"/>
        <w:left w:val="none" w:sz="0" w:space="0" w:color="auto"/>
        <w:bottom w:val="none" w:sz="0" w:space="0" w:color="auto"/>
        <w:right w:val="none" w:sz="0" w:space="0" w:color="auto"/>
      </w:divBdr>
    </w:div>
    <w:div w:id="696276647">
      <w:bodyDiv w:val="1"/>
      <w:marLeft w:val="0"/>
      <w:marRight w:val="0"/>
      <w:marTop w:val="0"/>
      <w:marBottom w:val="0"/>
      <w:divBdr>
        <w:top w:val="none" w:sz="0" w:space="0" w:color="auto"/>
        <w:left w:val="none" w:sz="0" w:space="0" w:color="auto"/>
        <w:bottom w:val="none" w:sz="0" w:space="0" w:color="auto"/>
        <w:right w:val="none" w:sz="0" w:space="0" w:color="auto"/>
      </w:divBdr>
    </w:div>
    <w:div w:id="722292593">
      <w:bodyDiv w:val="1"/>
      <w:marLeft w:val="0"/>
      <w:marRight w:val="0"/>
      <w:marTop w:val="0"/>
      <w:marBottom w:val="0"/>
      <w:divBdr>
        <w:top w:val="none" w:sz="0" w:space="0" w:color="auto"/>
        <w:left w:val="none" w:sz="0" w:space="0" w:color="auto"/>
        <w:bottom w:val="none" w:sz="0" w:space="0" w:color="auto"/>
        <w:right w:val="none" w:sz="0" w:space="0" w:color="auto"/>
      </w:divBdr>
    </w:div>
    <w:div w:id="752313927">
      <w:bodyDiv w:val="1"/>
      <w:marLeft w:val="0"/>
      <w:marRight w:val="0"/>
      <w:marTop w:val="0"/>
      <w:marBottom w:val="0"/>
      <w:divBdr>
        <w:top w:val="none" w:sz="0" w:space="0" w:color="auto"/>
        <w:left w:val="none" w:sz="0" w:space="0" w:color="auto"/>
        <w:bottom w:val="none" w:sz="0" w:space="0" w:color="auto"/>
        <w:right w:val="none" w:sz="0" w:space="0" w:color="auto"/>
      </w:divBdr>
    </w:div>
    <w:div w:id="794448743">
      <w:bodyDiv w:val="1"/>
      <w:marLeft w:val="0"/>
      <w:marRight w:val="0"/>
      <w:marTop w:val="0"/>
      <w:marBottom w:val="0"/>
      <w:divBdr>
        <w:top w:val="none" w:sz="0" w:space="0" w:color="auto"/>
        <w:left w:val="none" w:sz="0" w:space="0" w:color="auto"/>
        <w:bottom w:val="none" w:sz="0" w:space="0" w:color="auto"/>
        <w:right w:val="none" w:sz="0" w:space="0" w:color="auto"/>
      </w:divBdr>
    </w:div>
    <w:div w:id="842937463">
      <w:bodyDiv w:val="1"/>
      <w:marLeft w:val="0"/>
      <w:marRight w:val="0"/>
      <w:marTop w:val="0"/>
      <w:marBottom w:val="0"/>
      <w:divBdr>
        <w:top w:val="none" w:sz="0" w:space="0" w:color="auto"/>
        <w:left w:val="none" w:sz="0" w:space="0" w:color="auto"/>
        <w:bottom w:val="none" w:sz="0" w:space="0" w:color="auto"/>
        <w:right w:val="none" w:sz="0" w:space="0" w:color="auto"/>
      </w:divBdr>
    </w:div>
    <w:div w:id="851527074">
      <w:bodyDiv w:val="1"/>
      <w:marLeft w:val="0"/>
      <w:marRight w:val="0"/>
      <w:marTop w:val="0"/>
      <w:marBottom w:val="0"/>
      <w:divBdr>
        <w:top w:val="none" w:sz="0" w:space="0" w:color="auto"/>
        <w:left w:val="none" w:sz="0" w:space="0" w:color="auto"/>
        <w:bottom w:val="none" w:sz="0" w:space="0" w:color="auto"/>
        <w:right w:val="none" w:sz="0" w:space="0" w:color="auto"/>
      </w:divBdr>
    </w:div>
    <w:div w:id="859591054">
      <w:bodyDiv w:val="1"/>
      <w:marLeft w:val="0"/>
      <w:marRight w:val="0"/>
      <w:marTop w:val="0"/>
      <w:marBottom w:val="0"/>
      <w:divBdr>
        <w:top w:val="none" w:sz="0" w:space="0" w:color="auto"/>
        <w:left w:val="none" w:sz="0" w:space="0" w:color="auto"/>
        <w:bottom w:val="none" w:sz="0" w:space="0" w:color="auto"/>
        <w:right w:val="none" w:sz="0" w:space="0" w:color="auto"/>
      </w:divBdr>
    </w:div>
    <w:div w:id="871066165">
      <w:bodyDiv w:val="1"/>
      <w:marLeft w:val="0"/>
      <w:marRight w:val="0"/>
      <w:marTop w:val="0"/>
      <w:marBottom w:val="0"/>
      <w:divBdr>
        <w:top w:val="none" w:sz="0" w:space="0" w:color="auto"/>
        <w:left w:val="none" w:sz="0" w:space="0" w:color="auto"/>
        <w:bottom w:val="none" w:sz="0" w:space="0" w:color="auto"/>
        <w:right w:val="none" w:sz="0" w:space="0" w:color="auto"/>
      </w:divBdr>
    </w:div>
    <w:div w:id="879902157">
      <w:bodyDiv w:val="1"/>
      <w:marLeft w:val="0"/>
      <w:marRight w:val="0"/>
      <w:marTop w:val="0"/>
      <w:marBottom w:val="0"/>
      <w:divBdr>
        <w:top w:val="none" w:sz="0" w:space="0" w:color="auto"/>
        <w:left w:val="none" w:sz="0" w:space="0" w:color="auto"/>
        <w:bottom w:val="none" w:sz="0" w:space="0" w:color="auto"/>
        <w:right w:val="none" w:sz="0" w:space="0" w:color="auto"/>
      </w:divBdr>
    </w:div>
    <w:div w:id="970744723">
      <w:bodyDiv w:val="1"/>
      <w:marLeft w:val="0"/>
      <w:marRight w:val="0"/>
      <w:marTop w:val="0"/>
      <w:marBottom w:val="0"/>
      <w:divBdr>
        <w:top w:val="none" w:sz="0" w:space="0" w:color="auto"/>
        <w:left w:val="none" w:sz="0" w:space="0" w:color="auto"/>
        <w:bottom w:val="none" w:sz="0" w:space="0" w:color="auto"/>
        <w:right w:val="none" w:sz="0" w:space="0" w:color="auto"/>
      </w:divBdr>
    </w:div>
    <w:div w:id="972055681">
      <w:bodyDiv w:val="1"/>
      <w:marLeft w:val="0"/>
      <w:marRight w:val="0"/>
      <w:marTop w:val="0"/>
      <w:marBottom w:val="0"/>
      <w:divBdr>
        <w:top w:val="none" w:sz="0" w:space="0" w:color="auto"/>
        <w:left w:val="none" w:sz="0" w:space="0" w:color="auto"/>
        <w:bottom w:val="none" w:sz="0" w:space="0" w:color="auto"/>
        <w:right w:val="none" w:sz="0" w:space="0" w:color="auto"/>
      </w:divBdr>
    </w:div>
    <w:div w:id="1009789848">
      <w:bodyDiv w:val="1"/>
      <w:marLeft w:val="0"/>
      <w:marRight w:val="0"/>
      <w:marTop w:val="0"/>
      <w:marBottom w:val="0"/>
      <w:divBdr>
        <w:top w:val="none" w:sz="0" w:space="0" w:color="auto"/>
        <w:left w:val="none" w:sz="0" w:space="0" w:color="auto"/>
        <w:bottom w:val="none" w:sz="0" w:space="0" w:color="auto"/>
        <w:right w:val="none" w:sz="0" w:space="0" w:color="auto"/>
      </w:divBdr>
    </w:div>
    <w:div w:id="1053650848">
      <w:bodyDiv w:val="1"/>
      <w:marLeft w:val="0"/>
      <w:marRight w:val="0"/>
      <w:marTop w:val="0"/>
      <w:marBottom w:val="0"/>
      <w:divBdr>
        <w:top w:val="none" w:sz="0" w:space="0" w:color="auto"/>
        <w:left w:val="none" w:sz="0" w:space="0" w:color="auto"/>
        <w:bottom w:val="none" w:sz="0" w:space="0" w:color="auto"/>
        <w:right w:val="none" w:sz="0" w:space="0" w:color="auto"/>
      </w:divBdr>
    </w:div>
    <w:div w:id="1069499365">
      <w:bodyDiv w:val="1"/>
      <w:marLeft w:val="0"/>
      <w:marRight w:val="0"/>
      <w:marTop w:val="0"/>
      <w:marBottom w:val="0"/>
      <w:divBdr>
        <w:top w:val="none" w:sz="0" w:space="0" w:color="auto"/>
        <w:left w:val="none" w:sz="0" w:space="0" w:color="auto"/>
        <w:bottom w:val="none" w:sz="0" w:space="0" w:color="auto"/>
        <w:right w:val="none" w:sz="0" w:space="0" w:color="auto"/>
      </w:divBdr>
    </w:div>
    <w:div w:id="1093696845">
      <w:bodyDiv w:val="1"/>
      <w:marLeft w:val="0"/>
      <w:marRight w:val="0"/>
      <w:marTop w:val="0"/>
      <w:marBottom w:val="0"/>
      <w:divBdr>
        <w:top w:val="none" w:sz="0" w:space="0" w:color="auto"/>
        <w:left w:val="none" w:sz="0" w:space="0" w:color="auto"/>
        <w:bottom w:val="none" w:sz="0" w:space="0" w:color="auto"/>
        <w:right w:val="none" w:sz="0" w:space="0" w:color="auto"/>
      </w:divBdr>
    </w:div>
    <w:div w:id="1116023620">
      <w:bodyDiv w:val="1"/>
      <w:marLeft w:val="0"/>
      <w:marRight w:val="0"/>
      <w:marTop w:val="0"/>
      <w:marBottom w:val="0"/>
      <w:divBdr>
        <w:top w:val="none" w:sz="0" w:space="0" w:color="auto"/>
        <w:left w:val="none" w:sz="0" w:space="0" w:color="auto"/>
        <w:bottom w:val="none" w:sz="0" w:space="0" w:color="auto"/>
        <w:right w:val="none" w:sz="0" w:space="0" w:color="auto"/>
      </w:divBdr>
    </w:div>
    <w:div w:id="1198395171">
      <w:bodyDiv w:val="1"/>
      <w:marLeft w:val="0"/>
      <w:marRight w:val="0"/>
      <w:marTop w:val="0"/>
      <w:marBottom w:val="0"/>
      <w:divBdr>
        <w:top w:val="none" w:sz="0" w:space="0" w:color="auto"/>
        <w:left w:val="none" w:sz="0" w:space="0" w:color="auto"/>
        <w:bottom w:val="none" w:sz="0" w:space="0" w:color="auto"/>
        <w:right w:val="none" w:sz="0" w:space="0" w:color="auto"/>
      </w:divBdr>
    </w:div>
    <w:div w:id="1199197673">
      <w:bodyDiv w:val="1"/>
      <w:marLeft w:val="0"/>
      <w:marRight w:val="0"/>
      <w:marTop w:val="0"/>
      <w:marBottom w:val="0"/>
      <w:divBdr>
        <w:top w:val="none" w:sz="0" w:space="0" w:color="auto"/>
        <w:left w:val="none" w:sz="0" w:space="0" w:color="auto"/>
        <w:bottom w:val="none" w:sz="0" w:space="0" w:color="auto"/>
        <w:right w:val="none" w:sz="0" w:space="0" w:color="auto"/>
      </w:divBdr>
    </w:div>
    <w:div w:id="1226917687">
      <w:bodyDiv w:val="1"/>
      <w:marLeft w:val="0"/>
      <w:marRight w:val="0"/>
      <w:marTop w:val="0"/>
      <w:marBottom w:val="0"/>
      <w:divBdr>
        <w:top w:val="none" w:sz="0" w:space="0" w:color="auto"/>
        <w:left w:val="none" w:sz="0" w:space="0" w:color="auto"/>
        <w:bottom w:val="none" w:sz="0" w:space="0" w:color="auto"/>
        <w:right w:val="none" w:sz="0" w:space="0" w:color="auto"/>
      </w:divBdr>
    </w:div>
    <w:div w:id="1238175874">
      <w:bodyDiv w:val="1"/>
      <w:marLeft w:val="0"/>
      <w:marRight w:val="0"/>
      <w:marTop w:val="0"/>
      <w:marBottom w:val="0"/>
      <w:divBdr>
        <w:top w:val="none" w:sz="0" w:space="0" w:color="auto"/>
        <w:left w:val="none" w:sz="0" w:space="0" w:color="auto"/>
        <w:bottom w:val="none" w:sz="0" w:space="0" w:color="auto"/>
        <w:right w:val="none" w:sz="0" w:space="0" w:color="auto"/>
      </w:divBdr>
    </w:div>
    <w:div w:id="1284575412">
      <w:bodyDiv w:val="1"/>
      <w:marLeft w:val="0"/>
      <w:marRight w:val="0"/>
      <w:marTop w:val="0"/>
      <w:marBottom w:val="0"/>
      <w:divBdr>
        <w:top w:val="none" w:sz="0" w:space="0" w:color="auto"/>
        <w:left w:val="none" w:sz="0" w:space="0" w:color="auto"/>
        <w:bottom w:val="none" w:sz="0" w:space="0" w:color="auto"/>
        <w:right w:val="none" w:sz="0" w:space="0" w:color="auto"/>
      </w:divBdr>
    </w:div>
    <w:div w:id="1311641353">
      <w:bodyDiv w:val="1"/>
      <w:marLeft w:val="0"/>
      <w:marRight w:val="0"/>
      <w:marTop w:val="0"/>
      <w:marBottom w:val="0"/>
      <w:divBdr>
        <w:top w:val="none" w:sz="0" w:space="0" w:color="auto"/>
        <w:left w:val="none" w:sz="0" w:space="0" w:color="auto"/>
        <w:bottom w:val="none" w:sz="0" w:space="0" w:color="auto"/>
        <w:right w:val="none" w:sz="0" w:space="0" w:color="auto"/>
      </w:divBdr>
    </w:div>
    <w:div w:id="1320233035">
      <w:bodyDiv w:val="1"/>
      <w:marLeft w:val="0"/>
      <w:marRight w:val="0"/>
      <w:marTop w:val="0"/>
      <w:marBottom w:val="0"/>
      <w:divBdr>
        <w:top w:val="none" w:sz="0" w:space="0" w:color="auto"/>
        <w:left w:val="none" w:sz="0" w:space="0" w:color="auto"/>
        <w:bottom w:val="none" w:sz="0" w:space="0" w:color="auto"/>
        <w:right w:val="none" w:sz="0" w:space="0" w:color="auto"/>
      </w:divBdr>
    </w:div>
    <w:div w:id="1322613383">
      <w:bodyDiv w:val="1"/>
      <w:marLeft w:val="0"/>
      <w:marRight w:val="0"/>
      <w:marTop w:val="0"/>
      <w:marBottom w:val="0"/>
      <w:divBdr>
        <w:top w:val="none" w:sz="0" w:space="0" w:color="auto"/>
        <w:left w:val="none" w:sz="0" w:space="0" w:color="auto"/>
        <w:bottom w:val="none" w:sz="0" w:space="0" w:color="auto"/>
        <w:right w:val="none" w:sz="0" w:space="0" w:color="auto"/>
      </w:divBdr>
    </w:div>
    <w:div w:id="1330406749">
      <w:bodyDiv w:val="1"/>
      <w:marLeft w:val="0"/>
      <w:marRight w:val="0"/>
      <w:marTop w:val="0"/>
      <w:marBottom w:val="0"/>
      <w:divBdr>
        <w:top w:val="none" w:sz="0" w:space="0" w:color="auto"/>
        <w:left w:val="none" w:sz="0" w:space="0" w:color="auto"/>
        <w:bottom w:val="none" w:sz="0" w:space="0" w:color="auto"/>
        <w:right w:val="none" w:sz="0" w:space="0" w:color="auto"/>
      </w:divBdr>
    </w:div>
    <w:div w:id="1339694771">
      <w:bodyDiv w:val="1"/>
      <w:marLeft w:val="0"/>
      <w:marRight w:val="0"/>
      <w:marTop w:val="0"/>
      <w:marBottom w:val="0"/>
      <w:divBdr>
        <w:top w:val="none" w:sz="0" w:space="0" w:color="auto"/>
        <w:left w:val="none" w:sz="0" w:space="0" w:color="auto"/>
        <w:bottom w:val="none" w:sz="0" w:space="0" w:color="auto"/>
        <w:right w:val="none" w:sz="0" w:space="0" w:color="auto"/>
      </w:divBdr>
    </w:div>
    <w:div w:id="1359938676">
      <w:bodyDiv w:val="1"/>
      <w:marLeft w:val="0"/>
      <w:marRight w:val="0"/>
      <w:marTop w:val="0"/>
      <w:marBottom w:val="0"/>
      <w:divBdr>
        <w:top w:val="none" w:sz="0" w:space="0" w:color="auto"/>
        <w:left w:val="none" w:sz="0" w:space="0" w:color="auto"/>
        <w:bottom w:val="none" w:sz="0" w:space="0" w:color="auto"/>
        <w:right w:val="none" w:sz="0" w:space="0" w:color="auto"/>
      </w:divBdr>
    </w:div>
    <w:div w:id="1419138924">
      <w:bodyDiv w:val="1"/>
      <w:marLeft w:val="0"/>
      <w:marRight w:val="0"/>
      <w:marTop w:val="0"/>
      <w:marBottom w:val="0"/>
      <w:divBdr>
        <w:top w:val="none" w:sz="0" w:space="0" w:color="auto"/>
        <w:left w:val="none" w:sz="0" w:space="0" w:color="auto"/>
        <w:bottom w:val="none" w:sz="0" w:space="0" w:color="auto"/>
        <w:right w:val="none" w:sz="0" w:space="0" w:color="auto"/>
      </w:divBdr>
    </w:div>
    <w:div w:id="1448619656">
      <w:bodyDiv w:val="1"/>
      <w:marLeft w:val="0"/>
      <w:marRight w:val="0"/>
      <w:marTop w:val="0"/>
      <w:marBottom w:val="0"/>
      <w:divBdr>
        <w:top w:val="none" w:sz="0" w:space="0" w:color="auto"/>
        <w:left w:val="none" w:sz="0" w:space="0" w:color="auto"/>
        <w:bottom w:val="none" w:sz="0" w:space="0" w:color="auto"/>
        <w:right w:val="none" w:sz="0" w:space="0" w:color="auto"/>
      </w:divBdr>
    </w:div>
    <w:div w:id="1462844006">
      <w:bodyDiv w:val="1"/>
      <w:marLeft w:val="0"/>
      <w:marRight w:val="0"/>
      <w:marTop w:val="0"/>
      <w:marBottom w:val="0"/>
      <w:divBdr>
        <w:top w:val="none" w:sz="0" w:space="0" w:color="auto"/>
        <w:left w:val="none" w:sz="0" w:space="0" w:color="auto"/>
        <w:bottom w:val="none" w:sz="0" w:space="0" w:color="auto"/>
        <w:right w:val="none" w:sz="0" w:space="0" w:color="auto"/>
      </w:divBdr>
    </w:div>
    <w:div w:id="1491630291">
      <w:bodyDiv w:val="1"/>
      <w:marLeft w:val="0"/>
      <w:marRight w:val="0"/>
      <w:marTop w:val="0"/>
      <w:marBottom w:val="0"/>
      <w:divBdr>
        <w:top w:val="none" w:sz="0" w:space="0" w:color="auto"/>
        <w:left w:val="none" w:sz="0" w:space="0" w:color="auto"/>
        <w:bottom w:val="none" w:sz="0" w:space="0" w:color="auto"/>
        <w:right w:val="none" w:sz="0" w:space="0" w:color="auto"/>
      </w:divBdr>
    </w:div>
    <w:div w:id="1499080714">
      <w:bodyDiv w:val="1"/>
      <w:marLeft w:val="0"/>
      <w:marRight w:val="0"/>
      <w:marTop w:val="0"/>
      <w:marBottom w:val="0"/>
      <w:divBdr>
        <w:top w:val="none" w:sz="0" w:space="0" w:color="auto"/>
        <w:left w:val="none" w:sz="0" w:space="0" w:color="auto"/>
        <w:bottom w:val="none" w:sz="0" w:space="0" w:color="auto"/>
        <w:right w:val="none" w:sz="0" w:space="0" w:color="auto"/>
      </w:divBdr>
    </w:div>
    <w:div w:id="1502506301">
      <w:bodyDiv w:val="1"/>
      <w:marLeft w:val="0"/>
      <w:marRight w:val="0"/>
      <w:marTop w:val="0"/>
      <w:marBottom w:val="0"/>
      <w:divBdr>
        <w:top w:val="none" w:sz="0" w:space="0" w:color="auto"/>
        <w:left w:val="none" w:sz="0" w:space="0" w:color="auto"/>
        <w:bottom w:val="none" w:sz="0" w:space="0" w:color="auto"/>
        <w:right w:val="none" w:sz="0" w:space="0" w:color="auto"/>
      </w:divBdr>
    </w:div>
    <w:div w:id="1514762079">
      <w:bodyDiv w:val="1"/>
      <w:marLeft w:val="0"/>
      <w:marRight w:val="0"/>
      <w:marTop w:val="0"/>
      <w:marBottom w:val="0"/>
      <w:divBdr>
        <w:top w:val="none" w:sz="0" w:space="0" w:color="auto"/>
        <w:left w:val="none" w:sz="0" w:space="0" w:color="auto"/>
        <w:bottom w:val="none" w:sz="0" w:space="0" w:color="auto"/>
        <w:right w:val="none" w:sz="0" w:space="0" w:color="auto"/>
      </w:divBdr>
    </w:div>
    <w:div w:id="1555392600">
      <w:bodyDiv w:val="1"/>
      <w:marLeft w:val="0"/>
      <w:marRight w:val="0"/>
      <w:marTop w:val="0"/>
      <w:marBottom w:val="0"/>
      <w:divBdr>
        <w:top w:val="none" w:sz="0" w:space="0" w:color="auto"/>
        <w:left w:val="none" w:sz="0" w:space="0" w:color="auto"/>
        <w:bottom w:val="none" w:sz="0" w:space="0" w:color="auto"/>
        <w:right w:val="none" w:sz="0" w:space="0" w:color="auto"/>
      </w:divBdr>
    </w:div>
    <w:div w:id="1565136725">
      <w:bodyDiv w:val="1"/>
      <w:marLeft w:val="0"/>
      <w:marRight w:val="0"/>
      <w:marTop w:val="0"/>
      <w:marBottom w:val="0"/>
      <w:divBdr>
        <w:top w:val="none" w:sz="0" w:space="0" w:color="auto"/>
        <w:left w:val="none" w:sz="0" w:space="0" w:color="auto"/>
        <w:bottom w:val="none" w:sz="0" w:space="0" w:color="auto"/>
        <w:right w:val="none" w:sz="0" w:space="0" w:color="auto"/>
      </w:divBdr>
    </w:div>
    <w:div w:id="1577016020">
      <w:bodyDiv w:val="1"/>
      <w:marLeft w:val="0"/>
      <w:marRight w:val="0"/>
      <w:marTop w:val="0"/>
      <w:marBottom w:val="0"/>
      <w:divBdr>
        <w:top w:val="none" w:sz="0" w:space="0" w:color="auto"/>
        <w:left w:val="none" w:sz="0" w:space="0" w:color="auto"/>
        <w:bottom w:val="none" w:sz="0" w:space="0" w:color="auto"/>
        <w:right w:val="none" w:sz="0" w:space="0" w:color="auto"/>
      </w:divBdr>
    </w:div>
    <w:div w:id="1641112421">
      <w:bodyDiv w:val="1"/>
      <w:marLeft w:val="0"/>
      <w:marRight w:val="0"/>
      <w:marTop w:val="0"/>
      <w:marBottom w:val="0"/>
      <w:divBdr>
        <w:top w:val="none" w:sz="0" w:space="0" w:color="auto"/>
        <w:left w:val="none" w:sz="0" w:space="0" w:color="auto"/>
        <w:bottom w:val="none" w:sz="0" w:space="0" w:color="auto"/>
        <w:right w:val="none" w:sz="0" w:space="0" w:color="auto"/>
      </w:divBdr>
    </w:div>
    <w:div w:id="1656296732">
      <w:bodyDiv w:val="1"/>
      <w:marLeft w:val="0"/>
      <w:marRight w:val="0"/>
      <w:marTop w:val="0"/>
      <w:marBottom w:val="0"/>
      <w:divBdr>
        <w:top w:val="none" w:sz="0" w:space="0" w:color="auto"/>
        <w:left w:val="none" w:sz="0" w:space="0" w:color="auto"/>
        <w:bottom w:val="none" w:sz="0" w:space="0" w:color="auto"/>
        <w:right w:val="none" w:sz="0" w:space="0" w:color="auto"/>
      </w:divBdr>
    </w:div>
    <w:div w:id="1663655388">
      <w:bodyDiv w:val="1"/>
      <w:marLeft w:val="0"/>
      <w:marRight w:val="0"/>
      <w:marTop w:val="0"/>
      <w:marBottom w:val="0"/>
      <w:divBdr>
        <w:top w:val="none" w:sz="0" w:space="0" w:color="auto"/>
        <w:left w:val="none" w:sz="0" w:space="0" w:color="auto"/>
        <w:bottom w:val="none" w:sz="0" w:space="0" w:color="auto"/>
        <w:right w:val="none" w:sz="0" w:space="0" w:color="auto"/>
      </w:divBdr>
    </w:div>
    <w:div w:id="1742099068">
      <w:bodyDiv w:val="1"/>
      <w:marLeft w:val="0"/>
      <w:marRight w:val="0"/>
      <w:marTop w:val="0"/>
      <w:marBottom w:val="0"/>
      <w:divBdr>
        <w:top w:val="none" w:sz="0" w:space="0" w:color="auto"/>
        <w:left w:val="none" w:sz="0" w:space="0" w:color="auto"/>
        <w:bottom w:val="none" w:sz="0" w:space="0" w:color="auto"/>
        <w:right w:val="none" w:sz="0" w:space="0" w:color="auto"/>
      </w:divBdr>
    </w:div>
    <w:div w:id="1779988548">
      <w:bodyDiv w:val="1"/>
      <w:marLeft w:val="0"/>
      <w:marRight w:val="0"/>
      <w:marTop w:val="0"/>
      <w:marBottom w:val="0"/>
      <w:divBdr>
        <w:top w:val="none" w:sz="0" w:space="0" w:color="auto"/>
        <w:left w:val="none" w:sz="0" w:space="0" w:color="auto"/>
        <w:bottom w:val="none" w:sz="0" w:space="0" w:color="auto"/>
        <w:right w:val="none" w:sz="0" w:space="0" w:color="auto"/>
      </w:divBdr>
    </w:div>
    <w:div w:id="1833594955">
      <w:bodyDiv w:val="1"/>
      <w:marLeft w:val="0"/>
      <w:marRight w:val="0"/>
      <w:marTop w:val="0"/>
      <w:marBottom w:val="0"/>
      <w:divBdr>
        <w:top w:val="none" w:sz="0" w:space="0" w:color="auto"/>
        <w:left w:val="none" w:sz="0" w:space="0" w:color="auto"/>
        <w:bottom w:val="none" w:sz="0" w:space="0" w:color="auto"/>
        <w:right w:val="none" w:sz="0" w:space="0" w:color="auto"/>
      </w:divBdr>
    </w:div>
    <w:div w:id="1870293361">
      <w:bodyDiv w:val="1"/>
      <w:marLeft w:val="0"/>
      <w:marRight w:val="0"/>
      <w:marTop w:val="0"/>
      <w:marBottom w:val="0"/>
      <w:divBdr>
        <w:top w:val="none" w:sz="0" w:space="0" w:color="auto"/>
        <w:left w:val="none" w:sz="0" w:space="0" w:color="auto"/>
        <w:bottom w:val="none" w:sz="0" w:space="0" w:color="auto"/>
        <w:right w:val="none" w:sz="0" w:space="0" w:color="auto"/>
      </w:divBdr>
    </w:div>
    <w:div w:id="2021005087">
      <w:bodyDiv w:val="1"/>
      <w:marLeft w:val="0"/>
      <w:marRight w:val="0"/>
      <w:marTop w:val="0"/>
      <w:marBottom w:val="0"/>
      <w:divBdr>
        <w:top w:val="none" w:sz="0" w:space="0" w:color="auto"/>
        <w:left w:val="none" w:sz="0" w:space="0" w:color="auto"/>
        <w:bottom w:val="none" w:sz="0" w:space="0" w:color="auto"/>
        <w:right w:val="none" w:sz="0" w:space="0" w:color="auto"/>
      </w:divBdr>
    </w:div>
    <w:div w:id="2091996679">
      <w:bodyDiv w:val="1"/>
      <w:marLeft w:val="0"/>
      <w:marRight w:val="0"/>
      <w:marTop w:val="0"/>
      <w:marBottom w:val="0"/>
      <w:divBdr>
        <w:top w:val="none" w:sz="0" w:space="0" w:color="auto"/>
        <w:left w:val="none" w:sz="0" w:space="0" w:color="auto"/>
        <w:bottom w:val="none" w:sz="0" w:space="0" w:color="auto"/>
        <w:right w:val="none" w:sz="0" w:space="0" w:color="auto"/>
      </w:divBdr>
    </w:div>
    <w:div w:id="213963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F50DE-57DE-4D1F-9DF4-1ECDCF6BA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2975</TotalTime>
  <Pages>11</Pages>
  <Words>2747</Words>
  <Characters>15659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2021-10-15T00:11:00Z</dcterms:created>
  <dcterms:modified xsi:type="dcterms:W3CDTF">2021-10-18T08:51:00Z</dcterms:modified>
</cp:coreProperties>
</file>