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73B6" w:rsidRPr="00C873B6" w:rsidRDefault="00C873B6" w:rsidP="00C873B6">
      <w:pPr>
        <w:spacing w:line="480" w:lineRule="auto"/>
        <w:jc w:val="center"/>
        <w:rPr>
          <w:rFonts w:ascii="Times New Roman" w:hAnsi="Times New Roman" w:cs="Times New Roman"/>
          <w:b/>
          <w:sz w:val="24"/>
          <w:szCs w:val="24"/>
        </w:rPr>
      </w:pPr>
    </w:p>
    <w:p w:rsidR="00C873B6" w:rsidRPr="00C873B6" w:rsidRDefault="00C873B6" w:rsidP="00C873B6">
      <w:pPr>
        <w:spacing w:line="480" w:lineRule="auto"/>
        <w:jc w:val="center"/>
        <w:rPr>
          <w:rFonts w:ascii="Times New Roman" w:hAnsi="Times New Roman" w:cs="Times New Roman"/>
          <w:b/>
          <w:sz w:val="24"/>
          <w:szCs w:val="24"/>
        </w:rPr>
      </w:pPr>
    </w:p>
    <w:p w:rsidR="00C873B6" w:rsidRPr="00C873B6" w:rsidRDefault="00C873B6" w:rsidP="00C873B6">
      <w:pPr>
        <w:spacing w:line="480" w:lineRule="auto"/>
        <w:jc w:val="center"/>
        <w:rPr>
          <w:rFonts w:ascii="Times New Roman" w:hAnsi="Times New Roman" w:cs="Times New Roman"/>
          <w:b/>
          <w:sz w:val="24"/>
          <w:szCs w:val="24"/>
        </w:rPr>
      </w:pPr>
    </w:p>
    <w:p w:rsidR="00C873B6" w:rsidRPr="00C873B6" w:rsidRDefault="00C873B6" w:rsidP="00C873B6">
      <w:pPr>
        <w:spacing w:line="480" w:lineRule="auto"/>
        <w:jc w:val="center"/>
        <w:rPr>
          <w:rFonts w:ascii="Times New Roman" w:hAnsi="Times New Roman" w:cs="Times New Roman"/>
          <w:b/>
          <w:sz w:val="24"/>
          <w:szCs w:val="24"/>
        </w:rPr>
      </w:pPr>
    </w:p>
    <w:p w:rsidR="00C873B6" w:rsidRPr="00C873B6" w:rsidRDefault="00C873B6" w:rsidP="00C873B6">
      <w:pPr>
        <w:spacing w:line="480" w:lineRule="auto"/>
        <w:jc w:val="center"/>
        <w:rPr>
          <w:rFonts w:ascii="Times New Roman" w:hAnsi="Times New Roman" w:cs="Times New Roman"/>
          <w:b/>
          <w:sz w:val="24"/>
          <w:szCs w:val="24"/>
        </w:rPr>
      </w:pPr>
      <w:r w:rsidRPr="00C873B6">
        <w:rPr>
          <w:rFonts w:ascii="Times New Roman" w:hAnsi="Times New Roman" w:cs="Times New Roman"/>
          <w:b/>
          <w:sz w:val="24"/>
          <w:szCs w:val="24"/>
        </w:rPr>
        <w:t>Law Supporting Reporting System</w:t>
      </w:r>
    </w:p>
    <w:p w:rsidR="00C873B6" w:rsidRPr="00C873B6" w:rsidRDefault="00C873B6" w:rsidP="00C873B6">
      <w:pPr>
        <w:spacing w:line="480" w:lineRule="auto"/>
        <w:jc w:val="center"/>
        <w:rPr>
          <w:rFonts w:ascii="Times New Roman" w:hAnsi="Times New Roman" w:cs="Times New Roman"/>
          <w:sz w:val="24"/>
          <w:szCs w:val="24"/>
        </w:rPr>
      </w:pPr>
      <w:r w:rsidRPr="00C873B6">
        <w:rPr>
          <w:rFonts w:ascii="Times New Roman" w:hAnsi="Times New Roman" w:cs="Times New Roman"/>
          <w:sz w:val="24"/>
          <w:szCs w:val="24"/>
        </w:rPr>
        <w:t>Name</w:t>
      </w:r>
      <w:bookmarkStart w:id="0" w:name="_GoBack"/>
      <w:bookmarkEnd w:id="0"/>
    </w:p>
    <w:p w:rsidR="00C873B6" w:rsidRPr="00C873B6" w:rsidRDefault="00C873B6" w:rsidP="00C873B6">
      <w:pPr>
        <w:spacing w:line="480" w:lineRule="auto"/>
        <w:jc w:val="center"/>
        <w:rPr>
          <w:rFonts w:ascii="Times New Roman" w:hAnsi="Times New Roman" w:cs="Times New Roman"/>
          <w:sz w:val="24"/>
          <w:szCs w:val="24"/>
        </w:rPr>
      </w:pPr>
      <w:r w:rsidRPr="00C873B6">
        <w:rPr>
          <w:rFonts w:ascii="Times New Roman" w:hAnsi="Times New Roman" w:cs="Times New Roman"/>
          <w:sz w:val="24"/>
          <w:szCs w:val="24"/>
        </w:rPr>
        <w:t>Professor</w:t>
      </w:r>
    </w:p>
    <w:p w:rsidR="00C873B6" w:rsidRPr="00C873B6" w:rsidRDefault="00C873B6" w:rsidP="00C873B6">
      <w:pPr>
        <w:spacing w:line="480" w:lineRule="auto"/>
        <w:jc w:val="center"/>
        <w:rPr>
          <w:rFonts w:ascii="Times New Roman" w:hAnsi="Times New Roman" w:cs="Times New Roman"/>
          <w:sz w:val="24"/>
          <w:szCs w:val="24"/>
        </w:rPr>
      </w:pPr>
      <w:r w:rsidRPr="00C873B6">
        <w:rPr>
          <w:rFonts w:ascii="Times New Roman" w:hAnsi="Times New Roman" w:cs="Times New Roman"/>
          <w:sz w:val="24"/>
          <w:szCs w:val="24"/>
        </w:rPr>
        <w:t>Course</w:t>
      </w:r>
    </w:p>
    <w:p w:rsidR="00C873B6" w:rsidRPr="00C873B6" w:rsidRDefault="00C873B6" w:rsidP="00C873B6">
      <w:pPr>
        <w:spacing w:line="480" w:lineRule="auto"/>
        <w:jc w:val="center"/>
        <w:rPr>
          <w:rFonts w:ascii="Times New Roman" w:hAnsi="Times New Roman" w:cs="Times New Roman"/>
          <w:sz w:val="24"/>
          <w:szCs w:val="24"/>
        </w:rPr>
      </w:pPr>
      <w:r w:rsidRPr="00C873B6">
        <w:rPr>
          <w:rFonts w:ascii="Times New Roman" w:hAnsi="Times New Roman" w:cs="Times New Roman"/>
          <w:sz w:val="24"/>
          <w:szCs w:val="24"/>
        </w:rPr>
        <w:t>Date</w:t>
      </w:r>
    </w:p>
    <w:p w:rsidR="00C873B6" w:rsidRPr="00C873B6" w:rsidRDefault="00C873B6" w:rsidP="00C873B6">
      <w:pPr>
        <w:spacing w:line="480" w:lineRule="auto"/>
        <w:rPr>
          <w:rFonts w:ascii="Times New Roman" w:hAnsi="Times New Roman" w:cs="Times New Roman"/>
          <w:b/>
          <w:sz w:val="24"/>
          <w:szCs w:val="24"/>
        </w:rPr>
      </w:pPr>
      <w:r w:rsidRPr="00C873B6">
        <w:rPr>
          <w:rFonts w:ascii="Times New Roman" w:hAnsi="Times New Roman" w:cs="Times New Roman"/>
          <w:b/>
          <w:sz w:val="24"/>
          <w:szCs w:val="24"/>
        </w:rPr>
        <w:br w:type="page"/>
      </w:r>
    </w:p>
    <w:p w:rsidR="00C873B6" w:rsidRPr="00C873B6" w:rsidRDefault="00C873B6" w:rsidP="00C873B6">
      <w:pPr>
        <w:spacing w:line="480" w:lineRule="auto"/>
        <w:jc w:val="center"/>
        <w:rPr>
          <w:rFonts w:ascii="Times New Roman" w:hAnsi="Times New Roman" w:cs="Times New Roman"/>
          <w:b/>
          <w:sz w:val="24"/>
          <w:szCs w:val="24"/>
        </w:rPr>
      </w:pPr>
      <w:r w:rsidRPr="00C873B6">
        <w:rPr>
          <w:rFonts w:ascii="Times New Roman" w:hAnsi="Times New Roman" w:cs="Times New Roman"/>
          <w:b/>
          <w:sz w:val="24"/>
          <w:szCs w:val="24"/>
        </w:rPr>
        <w:lastRenderedPageBreak/>
        <w:t>Law Supporting Reporting System</w:t>
      </w:r>
    </w:p>
    <w:p w:rsidR="003B1445" w:rsidRPr="00C873B6" w:rsidRDefault="00C873B6" w:rsidP="00C873B6">
      <w:pPr>
        <w:spacing w:line="480" w:lineRule="auto"/>
        <w:rPr>
          <w:rFonts w:ascii="Times New Roman" w:hAnsi="Times New Roman" w:cs="Times New Roman"/>
          <w:b/>
          <w:sz w:val="24"/>
          <w:szCs w:val="24"/>
        </w:rPr>
      </w:pPr>
      <w:r w:rsidRPr="00C873B6">
        <w:rPr>
          <w:rFonts w:ascii="Times New Roman" w:hAnsi="Times New Roman" w:cs="Times New Roman"/>
          <w:b/>
          <w:sz w:val="24"/>
          <w:szCs w:val="24"/>
        </w:rPr>
        <w:t>Chapter 14</w:t>
      </w:r>
    </w:p>
    <w:p w:rsidR="003B1445" w:rsidRPr="00C873B6" w:rsidRDefault="003B1445" w:rsidP="00C873B6">
      <w:pPr>
        <w:spacing w:line="480" w:lineRule="auto"/>
        <w:rPr>
          <w:rFonts w:ascii="Times New Roman" w:hAnsi="Times New Roman" w:cs="Times New Roman"/>
          <w:b/>
          <w:sz w:val="24"/>
          <w:szCs w:val="24"/>
        </w:rPr>
      </w:pPr>
      <w:r w:rsidRPr="00C873B6">
        <w:rPr>
          <w:rFonts w:ascii="Times New Roman" w:hAnsi="Times New Roman" w:cs="Times New Roman"/>
          <w:b/>
          <w:sz w:val="24"/>
          <w:szCs w:val="24"/>
        </w:rPr>
        <w:t>A large American multinational corporation wants to establish a telephone and email hotline for employees to report wrongdoing within the company. The company has offices in the European Union and wants to ensure that it avoids violations of E.U. data protection laws. What steps can the company take to increase the likelihood that its hotline reporting system remains in compliance?</w:t>
      </w:r>
    </w:p>
    <w:p w:rsidR="00370988" w:rsidRPr="00C873B6" w:rsidRDefault="00370988" w:rsidP="00C873B6">
      <w:pPr>
        <w:spacing w:line="480" w:lineRule="auto"/>
        <w:ind w:firstLine="567"/>
        <w:rPr>
          <w:rFonts w:ascii="Times New Roman" w:hAnsi="Times New Roman" w:cs="Times New Roman"/>
          <w:sz w:val="24"/>
          <w:szCs w:val="24"/>
        </w:rPr>
      </w:pPr>
      <w:r w:rsidRPr="00C873B6">
        <w:rPr>
          <w:rFonts w:ascii="Times New Roman" w:hAnsi="Times New Roman" w:cs="Times New Roman"/>
          <w:sz w:val="24"/>
          <w:szCs w:val="24"/>
        </w:rPr>
        <w:t xml:space="preserve">Ordinary and real people may have the probability of </w:t>
      </w:r>
      <w:r w:rsidR="003B1445" w:rsidRPr="00C873B6">
        <w:rPr>
          <w:rFonts w:ascii="Times New Roman" w:hAnsi="Times New Roman" w:cs="Times New Roman"/>
          <w:sz w:val="24"/>
          <w:szCs w:val="24"/>
        </w:rPr>
        <w:t>inverting data</w:t>
      </w:r>
      <w:r w:rsidRPr="00C873B6">
        <w:rPr>
          <w:rFonts w:ascii="Times New Roman" w:hAnsi="Times New Roman" w:cs="Times New Roman"/>
          <w:sz w:val="24"/>
          <w:szCs w:val="24"/>
        </w:rPr>
        <w:t xml:space="preserve"> legitimately within their control from being disclosed to, acquired by, or used by others without their consent in a path despite reasonable business fair in as much in that capacity </w:t>
      </w:r>
      <w:r w:rsidR="003B1445" w:rsidRPr="00C873B6">
        <w:rPr>
          <w:rFonts w:ascii="Times New Roman" w:hAnsi="Times New Roman" w:cs="Times New Roman"/>
          <w:sz w:val="24"/>
          <w:szCs w:val="24"/>
        </w:rPr>
        <w:t>data</w:t>
      </w:r>
      <w:r w:rsidRPr="00C873B6">
        <w:rPr>
          <w:rFonts w:ascii="Times New Roman" w:hAnsi="Times New Roman" w:cs="Times New Roman"/>
          <w:sz w:val="24"/>
          <w:szCs w:val="24"/>
        </w:rPr>
        <w:t>: in spite of the fact that "</w:t>
      </w:r>
      <w:r w:rsidR="003B1445" w:rsidRPr="00C873B6">
        <w:rPr>
          <w:rFonts w:ascii="Times New Roman" w:hAnsi="Times New Roman" w:cs="Times New Roman"/>
          <w:sz w:val="24"/>
          <w:szCs w:val="24"/>
        </w:rPr>
        <w:t>trade secret</w:t>
      </w:r>
      <w:r w:rsidRPr="00C873B6">
        <w:rPr>
          <w:rFonts w:ascii="Times New Roman" w:hAnsi="Times New Roman" w:cs="Times New Roman"/>
          <w:sz w:val="24"/>
          <w:szCs w:val="24"/>
        </w:rPr>
        <w:t xml:space="preserve">," it clearly considers </w:t>
      </w:r>
      <w:r w:rsidR="003B1445" w:rsidRPr="00C873B6">
        <w:rPr>
          <w:rFonts w:ascii="Times New Roman" w:hAnsi="Times New Roman" w:cs="Times New Roman"/>
          <w:sz w:val="24"/>
          <w:szCs w:val="24"/>
        </w:rPr>
        <w:t>professional protection</w:t>
      </w:r>
      <w:r w:rsidRPr="00C873B6">
        <w:rPr>
          <w:rFonts w:ascii="Times New Roman" w:hAnsi="Times New Roman" w:cs="Times New Roman"/>
          <w:sz w:val="24"/>
          <w:szCs w:val="24"/>
        </w:rPr>
        <w:t xml:space="preserve"> for undisclosed business </w:t>
      </w:r>
      <w:r w:rsidR="003B1445" w:rsidRPr="00C873B6">
        <w:rPr>
          <w:rFonts w:ascii="Times New Roman" w:hAnsi="Times New Roman" w:cs="Times New Roman"/>
          <w:sz w:val="24"/>
          <w:szCs w:val="24"/>
        </w:rPr>
        <w:t>data</w:t>
      </w:r>
      <w:r w:rsidRPr="00C873B6">
        <w:rPr>
          <w:rFonts w:ascii="Times New Roman" w:hAnsi="Times New Roman" w:cs="Times New Roman"/>
          <w:sz w:val="24"/>
          <w:szCs w:val="24"/>
        </w:rPr>
        <w:t xml:space="preserve">. </w:t>
      </w:r>
    </w:p>
    <w:p w:rsidR="00370988" w:rsidRPr="00C873B6" w:rsidRDefault="0049423B" w:rsidP="00C873B6">
      <w:pPr>
        <w:spacing w:line="480" w:lineRule="auto"/>
        <w:ind w:firstLine="567"/>
        <w:rPr>
          <w:rFonts w:ascii="Times New Roman" w:hAnsi="Times New Roman" w:cs="Times New Roman"/>
          <w:sz w:val="24"/>
          <w:szCs w:val="24"/>
        </w:rPr>
      </w:pPr>
      <w:r w:rsidRPr="00C873B6">
        <w:rPr>
          <w:rFonts w:ascii="Times New Roman" w:hAnsi="Times New Roman" w:cs="Times New Roman"/>
          <w:sz w:val="24"/>
          <w:szCs w:val="24"/>
        </w:rPr>
        <w:t>Ther</w:t>
      </w:r>
      <w:r w:rsidR="00370988" w:rsidRPr="00C873B6">
        <w:rPr>
          <w:rFonts w:ascii="Times New Roman" w:hAnsi="Times New Roman" w:cs="Times New Roman"/>
          <w:sz w:val="24"/>
          <w:szCs w:val="24"/>
        </w:rPr>
        <w:t xml:space="preserve">e has been </w:t>
      </w:r>
      <w:r w:rsidR="003B1445" w:rsidRPr="00C873B6">
        <w:rPr>
          <w:rFonts w:ascii="Times New Roman" w:hAnsi="Times New Roman" w:cs="Times New Roman"/>
          <w:sz w:val="24"/>
          <w:szCs w:val="24"/>
        </w:rPr>
        <w:t>liable</w:t>
      </w:r>
      <w:r w:rsidR="00370988" w:rsidRPr="00C873B6">
        <w:rPr>
          <w:rFonts w:ascii="Times New Roman" w:hAnsi="Times New Roman" w:cs="Times New Roman"/>
          <w:sz w:val="24"/>
          <w:szCs w:val="24"/>
        </w:rPr>
        <w:t xml:space="preserve"> to reasonable </w:t>
      </w:r>
      <w:r w:rsidR="003B1445" w:rsidRPr="00C873B6">
        <w:rPr>
          <w:rFonts w:ascii="Times New Roman" w:hAnsi="Times New Roman" w:cs="Times New Roman"/>
          <w:sz w:val="24"/>
          <w:szCs w:val="24"/>
        </w:rPr>
        <w:t>steps given that</w:t>
      </w:r>
      <w:r w:rsidR="00370988" w:rsidRPr="00C873B6">
        <w:rPr>
          <w:rFonts w:ascii="Times New Roman" w:hAnsi="Times New Roman" w:cs="Times New Roman"/>
          <w:sz w:val="24"/>
          <w:szCs w:val="24"/>
        </w:rPr>
        <w:t xml:space="preserve"> the current circumstance, through the individual really responsible for the </w:t>
      </w:r>
      <w:r w:rsidR="003B1445" w:rsidRPr="00C873B6">
        <w:rPr>
          <w:rFonts w:ascii="Times New Roman" w:hAnsi="Times New Roman" w:cs="Times New Roman"/>
          <w:sz w:val="24"/>
          <w:szCs w:val="24"/>
        </w:rPr>
        <w:t>data, to keep it secret</w:t>
      </w:r>
      <w:r w:rsidR="00370988" w:rsidRPr="00C873B6">
        <w:rPr>
          <w:rFonts w:ascii="Times New Roman" w:hAnsi="Times New Roman" w:cs="Times New Roman"/>
          <w:sz w:val="24"/>
          <w:szCs w:val="24"/>
        </w:rPr>
        <w:t xml:space="preserve">. These necessitates that the </w:t>
      </w:r>
      <w:r w:rsidR="003B1445" w:rsidRPr="00C873B6">
        <w:rPr>
          <w:rFonts w:ascii="Times New Roman" w:hAnsi="Times New Roman" w:cs="Times New Roman"/>
          <w:sz w:val="24"/>
          <w:szCs w:val="24"/>
        </w:rPr>
        <w:t>data</w:t>
      </w:r>
      <w:r w:rsidR="00370988" w:rsidRPr="00C873B6">
        <w:rPr>
          <w:rFonts w:ascii="Times New Roman" w:hAnsi="Times New Roman" w:cs="Times New Roman"/>
          <w:sz w:val="24"/>
          <w:szCs w:val="24"/>
        </w:rPr>
        <w:t xml:space="preserve"> ought to be puzzle and not generally extensive known among individuals instructed in the field. Moreover, the </w:t>
      </w:r>
      <w:r w:rsidR="003B1445" w:rsidRPr="00C873B6">
        <w:rPr>
          <w:rFonts w:ascii="Times New Roman" w:hAnsi="Times New Roman" w:cs="Times New Roman"/>
          <w:sz w:val="24"/>
          <w:szCs w:val="24"/>
        </w:rPr>
        <w:t>data</w:t>
      </w:r>
      <w:r w:rsidR="00370988" w:rsidRPr="00C873B6">
        <w:rPr>
          <w:rFonts w:ascii="Times New Roman" w:hAnsi="Times New Roman" w:cs="Times New Roman"/>
          <w:sz w:val="24"/>
          <w:szCs w:val="24"/>
        </w:rPr>
        <w:t xml:space="preserve"> ought to have some business regard in the business focus. Finally, the owners of the </w:t>
      </w:r>
      <w:r w:rsidR="003B1445" w:rsidRPr="00C873B6">
        <w:rPr>
          <w:rFonts w:ascii="Times New Roman" w:hAnsi="Times New Roman" w:cs="Times New Roman"/>
          <w:sz w:val="24"/>
          <w:szCs w:val="24"/>
        </w:rPr>
        <w:t>data</w:t>
      </w:r>
      <w:r w:rsidR="00370988" w:rsidRPr="00C873B6">
        <w:rPr>
          <w:rFonts w:ascii="Times New Roman" w:hAnsi="Times New Roman" w:cs="Times New Roman"/>
          <w:sz w:val="24"/>
          <w:szCs w:val="24"/>
        </w:rPr>
        <w:t xml:space="preserve"> almost certainly figured out how to keep the </w:t>
      </w:r>
      <w:r w:rsidR="003B1445" w:rsidRPr="00C873B6">
        <w:rPr>
          <w:rFonts w:ascii="Times New Roman" w:hAnsi="Times New Roman" w:cs="Times New Roman"/>
          <w:sz w:val="24"/>
          <w:szCs w:val="24"/>
        </w:rPr>
        <w:t>data</w:t>
      </w:r>
      <w:r w:rsidR="00370988" w:rsidRPr="00C873B6">
        <w:rPr>
          <w:rFonts w:ascii="Times New Roman" w:hAnsi="Times New Roman" w:cs="Times New Roman"/>
          <w:sz w:val="24"/>
          <w:szCs w:val="24"/>
        </w:rPr>
        <w:t xml:space="preserve"> from </w:t>
      </w:r>
      <w:r w:rsidR="003B1445" w:rsidRPr="00C873B6">
        <w:rPr>
          <w:rFonts w:ascii="Times New Roman" w:hAnsi="Times New Roman" w:cs="Times New Roman"/>
          <w:sz w:val="24"/>
          <w:szCs w:val="24"/>
        </w:rPr>
        <w:t>public exposure</w:t>
      </w:r>
      <w:r w:rsidR="00370988" w:rsidRPr="00C873B6">
        <w:rPr>
          <w:rFonts w:ascii="Times New Roman" w:hAnsi="Times New Roman" w:cs="Times New Roman"/>
          <w:sz w:val="24"/>
          <w:szCs w:val="24"/>
        </w:rPr>
        <w:t xml:space="preserve">. </w:t>
      </w:r>
    </w:p>
    <w:p w:rsidR="00370988" w:rsidRPr="00C873B6" w:rsidRDefault="003B1445" w:rsidP="00C873B6">
      <w:pPr>
        <w:spacing w:line="480" w:lineRule="auto"/>
        <w:ind w:firstLine="567"/>
        <w:rPr>
          <w:rFonts w:ascii="Times New Roman" w:hAnsi="Times New Roman" w:cs="Times New Roman"/>
          <w:sz w:val="24"/>
          <w:szCs w:val="24"/>
        </w:rPr>
      </w:pPr>
      <w:r w:rsidRPr="00C873B6">
        <w:rPr>
          <w:rFonts w:ascii="Times New Roman" w:hAnsi="Times New Roman" w:cs="Times New Roman"/>
          <w:sz w:val="24"/>
          <w:szCs w:val="24"/>
        </w:rPr>
        <w:t>Code of conduct</w:t>
      </w:r>
      <w:r w:rsidR="00370988" w:rsidRPr="00C873B6">
        <w:rPr>
          <w:rFonts w:ascii="Times New Roman" w:hAnsi="Times New Roman" w:cs="Times New Roman"/>
          <w:sz w:val="24"/>
          <w:szCs w:val="24"/>
        </w:rPr>
        <w:t xml:space="preserve"> and Information Hotlines: CNIL thought about both </w:t>
      </w:r>
      <w:r w:rsidRPr="00C873B6">
        <w:rPr>
          <w:rFonts w:ascii="Times New Roman" w:hAnsi="Times New Roman" w:cs="Times New Roman"/>
          <w:sz w:val="24"/>
          <w:szCs w:val="24"/>
        </w:rPr>
        <w:t>reporting</w:t>
      </w:r>
      <w:r w:rsidR="00370988" w:rsidRPr="00C873B6">
        <w:rPr>
          <w:rFonts w:ascii="Times New Roman" w:hAnsi="Times New Roman" w:cs="Times New Roman"/>
          <w:sz w:val="24"/>
          <w:szCs w:val="24"/>
        </w:rPr>
        <w:t xml:space="preserve"> frameworks. The CNIL examined that the detailing frameworks could provoke a dealt with game plan of master judgment and harm current laws concerning data protection. The frameworks was moreover thought to be unequal to the goals searched for and could enable the scorn of specialists who were the subject of the messages or calls. Finally, the CNIL contemplated that, regardless of what the associations ensured, </w:t>
      </w:r>
      <w:r w:rsidRPr="00C873B6">
        <w:rPr>
          <w:rFonts w:ascii="Times New Roman" w:hAnsi="Times New Roman" w:cs="Times New Roman"/>
          <w:sz w:val="24"/>
          <w:szCs w:val="24"/>
        </w:rPr>
        <w:t>worke</w:t>
      </w:r>
      <w:r w:rsidR="00370988" w:rsidRPr="00C873B6">
        <w:rPr>
          <w:rFonts w:ascii="Times New Roman" w:hAnsi="Times New Roman" w:cs="Times New Roman"/>
          <w:sz w:val="24"/>
          <w:szCs w:val="24"/>
        </w:rPr>
        <w:t xml:space="preserve">rs would not be, by </w:t>
      </w:r>
      <w:r w:rsidR="00370988" w:rsidRPr="00C873B6">
        <w:rPr>
          <w:rFonts w:ascii="Times New Roman" w:hAnsi="Times New Roman" w:cs="Times New Roman"/>
          <w:sz w:val="24"/>
          <w:szCs w:val="24"/>
        </w:rPr>
        <w:lastRenderedPageBreak/>
        <w:t xml:space="preserve">definition, taught when the data examining their master or individual genuineness is recorded, and everything considered they would not have the best approach to test the getting ready of such </w:t>
      </w:r>
      <w:r w:rsidRPr="00C873B6">
        <w:rPr>
          <w:rFonts w:ascii="Times New Roman" w:hAnsi="Times New Roman" w:cs="Times New Roman"/>
          <w:sz w:val="24"/>
          <w:szCs w:val="24"/>
        </w:rPr>
        <w:t>information</w:t>
      </w:r>
      <w:r w:rsidR="0049423B" w:rsidRPr="00C873B6">
        <w:rPr>
          <w:rFonts w:ascii="Times New Roman" w:hAnsi="Times New Roman" w:cs="Times New Roman"/>
          <w:sz w:val="24"/>
          <w:szCs w:val="24"/>
        </w:rPr>
        <w:t xml:space="preserve"> (</w:t>
      </w:r>
      <w:proofErr w:type="spellStart"/>
      <w:r w:rsidR="002046AB" w:rsidRPr="00C873B6">
        <w:rPr>
          <w:rFonts w:ascii="Times New Roman" w:hAnsi="Times New Roman" w:cs="Times New Roman"/>
          <w:sz w:val="24"/>
          <w:szCs w:val="24"/>
        </w:rPr>
        <w:t>Koerber</w:t>
      </w:r>
      <w:proofErr w:type="spellEnd"/>
      <w:r w:rsidR="002046AB" w:rsidRPr="00C873B6">
        <w:rPr>
          <w:rFonts w:ascii="Times New Roman" w:hAnsi="Times New Roman" w:cs="Times New Roman"/>
          <w:sz w:val="24"/>
          <w:szCs w:val="24"/>
        </w:rPr>
        <w:t xml:space="preserve"> </w:t>
      </w:r>
      <w:r w:rsidR="002046AB" w:rsidRPr="00C873B6">
        <w:rPr>
          <w:rFonts w:ascii="Times New Roman" w:hAnsi="Times New Roman" w:cs="Times New Roman"/>
          <w:sz w:val="24"/>
          <w:szCs w:val="24"/>
        </w:rPr>
        <w:t xml:space="preserve">&amp; </w:t>
      </w:r>
      <w:proofErr w:type="spellStart"/>
      <w:r w:rsidR="002046AB" w:rsidRPr="00C873B6">
        <w:rPr>
          <w:rFonts w:ascii="Times New Roman" w:hAnsi="Times New Roman" w:cs="Times New Roman"/>
          <w:sz w:val="24"/>
          <w:szCs w:val="24"/>
        </w:rPr>
        <w:t>Wisskirchen</w:t>
      </w:r>
      <w:proofErr w:type="spellEnd"/>
      <w:r w:rsidR="002046AB" w:rsidRPr="00C873B6">
        <w:rPr>
          <w:rFonts w:ascii="Times New Roman" w:hAnsi="Times New Roman" w:cs="Times New Roman"/>
          <w:sz w:val="24"/>
          <w:szCs w:val="24"/>
        </w:rPr>
        <w:t>, 2016</w:t>
      </w:r>
      <w:r w:rsidR="002046AB" w:rsidRPr="00C873B6">
        <w:rPr>
          <w:rFonts w:ascii="Times New Roman" w:hAnsi="Times New Roman" w:cs="Times New Roman"/>
          <w:sz w:val="24"/>
          <w:szCs w:val="24"/>
        </w:rPr>
        <w:t>).</w:t>
      </w:r>
    </w:p>
    <w:p w:rsidR="00370988" w:rsidRPr="00C873B6" w:rsidRDefault="002046AB" w:rsidP="00C873B6">
      <w:pPr>
        <w:spacing w:line="480" w:lineRule="auto"/>
        <w:ind w:firstLine="567"/>
        <w:rPr>
          <w:rFonts w:ascii="Times New Roman" w:hAnsi="Times New Roman" w:cs="Times New Roman"/>
          <w:sz w:val="24"/>
          <w:szCs w:val="24"/>
        </w:rPr>
      </w:pPr>
      <w:r w:rsidRPr="00C873B6">
        <w:rPr>
          <w:rFonts w:ascii="Times New Roman" w:hAnsi="Times New Roman" w:cs="Times New Roman"/>
          <w:sz w:val="24"/>
          <w:szCs w:val="24"/>
        </w:rPr>
        <w:t>In 2018, t</w:t>
      </w:r>
      <w:r w:rsidRPr="00C873B6">
        <w:rPr>
          <w:rFonts w:ascii="Times New Roman" w:hAnsi="Times New Roman" w:cs="Times New Roman"/>
          <w:sz w:val="24"/>
          <w:szCs w:val="24"/>
        </w:rPr>
        <w:t>he European Union’s (EU) General Data Pr</w:t>
      </w:r>
      <w:r w:rsidRPr="00C873B6">
        <w:rPr>
          <w:rFonts w:ascii="Times New Roman" w:hAnsi="Times New Roman" w:cs="Times New Roman"/>
          <w:sz w:val="24"/>
          <w:szCs w:val="24"/>
        </w:rPr>
        <w:t>otection Regulations (GDPR) beca</w:t>
      </w:r>
      <w:r w:rsidRPr="00C873B6">
        <w:rPr>
          <w:rFonts w:ascii="Times New Roman" w:hAnsi="Times New Roman" w:cs="Times New Roman"/>
          <w:sz w:val="24"/>
          <w:szCs w:val="24"/>
        </w:rPr>
        <w:t xml:space="preserve">me effective and directly applicable to EU countries, </w:t>
      </w:r>
      <w:r w:rsidRPr="00C873B6">
        <w:rPr>
          <w:rFonts w:ascii="Times New Roman" w:hAnsi="Times New Roman" w:cs="Times New Roman"/>
          <w:sz w:val="24"/>
          <w:szCs w:val="24"/>
        </w:rPr>
        <w:t xml:space="preserve">and </w:t>
      </w:r>
      <w:r w:rsidRPr="00C873B6">
        <w:rPr>
          <w:rFonts w:ascii="Times New Roman" w:hAnsi="Times New Roman" w:cs="Times New Roman"/>
          <w:sz w:val="24"/>
          <w:szCs w:val="24"/>
        </w:rPr>
        <w:t>replac</w:t>
      </w:r>
      <w:r w:rsidRPr="00C873B6">
        <w:rPr>
          <w:rFonts w:ascii="Times New Roman" w:hAnsi="Times New Roman" w:cs="Times New Roman"/>
          <w:sz w:val="24"/>
          <w:szCs w:val="24"/>
        </w:rPr>
        <w:t>ed</w:t>
      </w:r>
      <w:r w:rsidRPr="00C873B6">
        <w:rPr>
          <w:rFonts w:ascii="Times New Roman" w:hAnsi="Times New Roman" w:cs="Times New Roman"/>
          <w:sz w:val="24"/>
          <w:szCs w:val="24"/>
        </w:rPr>
        <w:t xml:space="preserve"> the Data Protection Directive, 1995. The law of privacy developed in Europe in two aspects: i) personal privacy (as a human right) and; ii) informational privacy, </w:t>
      </w:r>
      <w:r w:rsidRPr="00C873B6">
        <w:rPr>
          <w:rFonts w:ascii="Times New Roman" w:hAnsi="Times New Roman" w:cs="Times New Roman"/>
          <w:sz w:val="24"/>
          <w:szCs w:val="24"/>
        </w:rPr>
        <w:t>related to processing of a person</w:t>
      </w:r>
      <w:r w:rsidRPr="00C873B6">
        <w:rPr>
          <w:rFonts w:ascii="Times New Roman" w:hAnsi="Times New Roman" w:cs="Times New Roman"/>
          <w:sz w:val="24"/>
          <w:szCs w:val="24"/>
        </w:rPr>
        <w:t>’s personal data</w:t>
      </w:r>
      <w:r w:rsidRPr="00C873B6">
        <w:rPr>
          <w:rFonts w:ascii="Times New Roman" w:hAnsi="Times New Roman" w:cs="Times New Roman"/>
          <w:sz w:val="24"/>
          <w:szCs w:val="24"/>
        </w:rPr>
        <w:t xml:space="preserve"> (Hand, 2018)</w:t>
      </w:r>
      <w:r w:rsidRPr="00C873B6">
        <w:rPr>
          <w:rFonts w:ascii="Times New Roman" w:hAnsi="Times New Roman" w:cs="Times New Roman"/>
          <w:sz w:val="24"/>
          <w:szCs w:val="24"/>
        </w:rPr>
        <w:t>.</w:t>
      </w:r>
      <w:r w:rsidRPr="00C873B6">
        <w:rPr>
          <w:rFonts w:ascii="Times New Roman" w:hAnsi="Times New Roman" w:cs="Times New Roman"/>
          <w:sz w:val="24"/>
          <w:szCs w:val="24"/>
        </w:rPr>
        <w:t xml:space="preserve"> </w:t>
      </w:r>
      <w:r w:rsidR="00370988" w:rsidRPr="00C873B6">
        <w:rPr>
          <w:rFonts w:ascii="Times New Roman" w:hAnsi="Times New Roman" w:cs="Times New Roman"/>
          <w:sz w:val="24"/>
          <w:szCs w:val="24"/>
        </w:rPr>
        <w:t xml:space="preserve">The aversion of European courts </w:t>
      </w:r>
      <w:r w:rsidR="003B1445" w:rsidRPr="00C873B6">
        <w:rPr>
          <w:rFonts w:ascii="Times New Roman" w:hAnsi="Times New Roman" w:cs="Times New Roman"/>
          <w:sz w:val="24"/>
          <w:szCs w:val="24"/>
        </w:rPr>
        <w:t>represents</w:t>
      </w:r>
      <w:r w:rsidR="00370988" w:rsidRPr="00C873B6">
        <w:rPr>
          <w:rFonts w:ascii="Times New Roman" w:hAnsi="Times New Roman" w:cs="Times New Roman"/>
          <w:sz w:val="24"/>
          <w:szCs w:val="24"/>
        </w:rPr>
        <w:t xml:space="preserve"> a real issue for U.S. </w:t>
      </w:r>
      <w:r w:rsidR="003B1445" w:rsidRPr="00C873B6">
        <w:rPr>
          <w:rFonts w:ascii="Times New Roman" w:hAnsi="Times New Roman" w:cs="Times New Roman"/>
          <w:sz w:val="24"/>
          <w:szCs w:val="24"/>
        </w:rPr>
        <w:t>organizations</w:t>
      </w:r>
      <w:r w:rsidR="00370988" w:rsidRPr="00C873B6">
        <w:rPr>
          <w:rFonts w:ascii="Times New Roman" w:hAnsi="Times New Roman" w:cs="Times New Roman"/>
          <w:sz w:val="24"/>
          <w:szCs w:val="24"/>
        </w:rPr>
        <w:t xml:space="preserve">. The inspiration driving </w:t>
      </w:r>
      <w:r w:rsidR="003B1445" w:rsidRPr="00C873B6">
        <w:rPr>
          <w:rFonts w:ascii="Times New Roman" w:hAnsi="Times New Roman" w:cs="Times New Roman"/>
          <w:sz w:val="24"/>
          <w:szCs w:val="24"/>
        </w:rPr>
        <w:t>this was</w:t>
      </w:r>
      <w:r w:rsidR="00370988" w:rsidRPr="00C873B6">
        <w:rPr>
          <w:rFonts w:ascii="Times New Roman" w:hAnsi="Times New Roman" w:cs="Times New Roman"/>
          <w:sz w:val="24"/>
          <w:szCs w:val="24"/>
        </w:rPr>
        <w:t xml:space="preserve"> to </w:t>
      </w:r>
      <w:r w:rsidR="003B1445" w:rsidRPr="00C873B6">
        <w:rPr>
          <w:rFonts w:ascii="Times New Roman" w:hAnsi="Times New Roman" w:cs="Times New Roman"/>
          <w:sz w:val="24"/>
          <w:szCs w:val="24"/>
        </w:rPr>
        <w:t xml:space="preserve">may be consent to </w:t>
      </w:r>
      <w:r w:rsidR="00370988" w:rsidRPr="00C873B6">
        <w:rPr>
          <w:rFonts w:ascii="Times New Roman" w:hAnsi="Times New Roman" w:cs="Times New Roman"/>
          <w:sz w:val="24"/>
          <w:szCs w:val="24"/>
        </w:rPr>
        <w:t xml:space="preserve">Sarbanes-Oxley Act of 2002, which sets up new measures for financial </w:t>
      </w:r>
      <w:r w:rsidR="003B1445" w:rsidRPr="00C873B6">
        <w:rPr>
          <w:rFonts w:ascii="Times New Roman" w:hAnsi="Times New Roman" w:cs="Times New Roman"/>
          <w:sz w:val="24"/>
          <w:szCs w:val="24"/>
        </w:rPr>
        <w:t>reporting</w:t>
      </w:r>
      <w:r w:rsidR="00370988" w:rsidRPr="00C873B6">
        <w:rPr>
          <w:rFonts w:ascii="Times New Roman" w:hAnsi="Times New Roman" w:cs="Times New Roman"/>
          <w:sz w:val="24"/>
          <w:szCs w:val="24"/>
        </w:rPr>
        <w:t xml:space="preserve"> and internal </w:t>
      </w:r>
      <w:r w:rsidR="003B1445" w:rsidRPr="00C873B6">
        <w:rPr>
          <w:rFonts w:ascii="Times New Roman" w:hAnsi="Times New Roman" w:cs="Times New Roman"/>
          <w:sz w:val="24"/>
          <w:szCs w:val="24"/>
        </w:rPr>
        <w:t>accounting</w:t>
      </w:r>
      <w:r w:rsidR="00370988" w:rsidRPr="00C873B6">
        <w:rPr>
          <w:rFonts w:ascii="Times New Roman" w:hAnsi="Times New Roman" w:cs="Times New Roman"/>
          <w:sz w:val="24"/>
          <w:szCs w:val="24"/>
        </w:rPr>
        <w:t xml:space="preserve"> oversight. The failure to have such hotlines apparently makes U.S. firms in disobedience with the Act. </w:t>
      </w:r>
    </w:p>
    <w:p w:rsidR="0049423B" w:rsidRPr="00C873B6" w:rsidRDefault="00370988" w:rsidP="00C873B6">
      <w:pPr>
        <w:spacing w:line="480" w:lineRule="auto"/>
        <w:ind w:firstLine="567"/>
        <w:rPr>
          <w:rFonts w:ascii="Times New Roman" w:hAnsi="Times New Roman" w:cs="Times New Roman"/>
          <w:sz w:val="24"/>
          <w:szCs w:val="24"/>
          <w:lang w:val="en-IN"/>
        </w:rPr>
      </w:pPr>
      <w:r w:rsidRPr="00C873B6">
        <w:rPr>
          <w:rFonts w:ascii="Times New Roman" w:hAnsi="Times New Roman" w:cs="Times New Roman"/>
          <w:sz w:val="24"/>
          <w:szCs w:val="24"/>
        </w:rPr>
        <w:t xml:space="preserve">In like manner, the E.U. Working </w:t>
      </w:r>
      <w:r w:rsidR="003B1445" w:rsidRPr="00C873B6">
        <w:rPr>
          <w:rFonts w:ascii="Times New Roman" w:hAnsi="Times New Roman" w:cs="Times New Roman"/>
          <w:sz w:val="24"/>
          <w:szCs w:val="24"/>
        </w:rPr>
        <w:t>has issued an order</w:t>
      </w:r>
      <w:r w:rsidRPr="00C873B6">
        <w:rPr>
          <w:rFonts w:ascii="Times New Roman" w:hAnsi="Times New Roman" w:cs="Times New Roman"/>
          <w:sz w:val="24"/>
          <w:szCs w:val="24"/>
        </w:rPr>
        <w:t xml:space="preserve"> that in like manner permitted whistleblowing </w:t>
      </w:r>
      <w:r w:rsidR="003B1445" w:rsidRPr="00C873B6">
        <w:rPr>
          <w:rFonts w:ascii="Times New Roman" w:hAnsi="Times New Roman" w:cs="Times New Roman"/>
          <w:sz w:val="24"/>
          <w:szCs w:val="24"/>
        </w:rPr>
        <w:t>reporting</w:t>
      </w:r>
      <w:r w:rsidRPr="00C873B6">
        <w:rPr>
          <w:rFonts w:ascii="Times New Roman" w:hAnsi="Times New Roman" w:cs="Times New Roman"/>
          <w:sz w:val="24"/>
          <w:szCs w:val="24"/>
        </w:rPr>
        <w:t xml:space="preserve"> frameworks</w:t>
      </w:r>
      <w:r w:rsidR="003B1445" w:rsidRPr="00C873B6">
        <w:rPr>
          <w:rFonts w:ascii="Times New Roman" w:hAnsi="Times New Roman" w:cs="Times New Roman"/>
          <w:sz w:val="24"/>
          <w:szCs w:val="24"/>
        </w:rPr>
        <w:t>,</w:t>
      </w:r>
      <w:r w:rsidRPr="00C873B6">
        <w:rPr>
          <w:rFonts w:ascii="Times New Roman" w:hAnsi="Times New Roman" w:cs="Times New Roman"/>
          <w:sz w:val="24"/>
          <w:szCs w:val="24"/>
        </w:rPr>
        <w:t xml:space="preserve"> the length of security confirmations and assurances for the privileges of involved </w:t>
      </w:r>
      <w:r w:rsidR="003B1445" w:rsidRPr="00C873B6">
        <w:rPr>
          <w:rFonts w:ascii="Times New Roman" w:hAnsi="Times New Roman" w:cs="Times New Roman"/>
          <w:sz w:val="24"/>
          <w:szCs w:val="24"/>
        </w:rPr>
        <w:t>persons</w:t>
      </w:r>
      <w:r w:rsidRPr="00C873B6">
        <w:rPr>
          <w:rFonts w:ascii="Times New Roman" w:hAnsi="Times New Roman" w:cs="Times New Roman"/>
          <w:sz w:val="24"/>
          <w:szCs w:val="24"/>
        </w:rPr>
        <w:t xml:space="preserve"> were set up. The Chairman of the Working Party sent a copy to the SEC communicating that the notion currently undeniably shows that E.U. data </w:t>
      </w:r>
      <w:r w:rsidR="003B1445" w:rsidRPr="00C873B6">
        <w:rPr>
          <w:rFonts w:ascii="Times New Roman" w:hAnsi="Times New Roman" w:cs="Times New Roman"/>
          <w:sz w:val="24"/>
          <w:szCs w:val="24"/>
        </w:rPr>
        <w:t>assurance</w:t>
      </w:r>
      <w:r w:rsidRPr="00C873B6">
        <w:rPr>
          <w:rFonts w:ascii="Times New Roman" w:hAnsi="Times New Roman" w:cs="Times New Roman"/>
          <w:sz w:val="24"/>
          <w:szCs w:val="24"/>
        </w:rPr>
        <w:t xml:space="preserve"> rules does not abstain from whistleblowing frameworks or the getting ready of individual data related to these systems. It remains to be seen whether diverse countries take after Europe's lead and strike a</w:t>
      </w:r>
      <w:r w:rsidR="003B1445" w:rsidRPr="00C873B6">
        <w:rPr>
          <w:rFonts w:ascii="Times New Roman" w:hAnsi="Times New Roman" w:cs="Times New Roman"/>
          <w:sz w:val="24"/>
          <w:szCs w:val="24"/>
        </w:rPr>
        <w:t xml:space="preserve"> bala</w:t>
      </w:r>
      <w:r w:rsidRPr="00C873B6">
        <w:rPr>
          <w:rFonts w:ascii="Times New Roman" w:hAnsi="Times New Roman" w:cs="Times New Roman"/>
          <w:sz w:val="24"/>
          <w:szCs w:val="24"/>
        </w:rPr>
        <w:t>n</w:t>
      </w:r>
      <w:r w:rsidR="003B1445" w:rsidRPr="00C873B6">
        <w:rPr>
          <w:rFonts w:ascii="Times New Roman" w:hAnsi="Times New Roman" w:cs="Times New Roman"/>
          <w:sz w:val="24"/>
          <w:szCs w:val="24"/>
        </w:rPr>
        <w:t>ce</w:t>
      </w:r>
      <w:r w:rsidRPr="00C873B6">
        <w:rPr>
          <w:rFonts w:ascii="Times New Roman" w:hAnsi="Times New Roman" w:cs="Times New Roman"/>
          <w:sz w:val="24"/>
          <w:szCs w:val="24"/>
        </w:rPr>
        <w:t xml:space="preserve"> between permitting such structures and guaranteeing the benefits of accused </w:t>
      </w:r>
      <w:r w:rsidR="003B1445" w:rsidRPr="00C873B6">
        <w:rPr>
          <w:rFonts w:ascii="Times New Roman" w:hAnsi="Times New Roman" w:cs="Times New Roman"/>
          <w:sz w:val="24"/>
          <w:szCs w:val="24"/>
        </w:rPr>
        <w:t>employees</w:t>
      </w:r>
      <w:r w:rsidRPr="00C873B6">
        <w:rPr>
          <w:rFonts w:ascii="Times New Roman" w:hAnsi="Times New Roman" w:cs="Times New Roman"/>
          <w:sz w:val="24"/>
          <w:szCs w:val="24"/>
        </w:rPr>
        <w:t xml:space="preserve"> and the security for individual data. This decision, while not dispositive on hotlines and not tying on all U.S. zones, bits of knowledge with reference to what courts may express later on concerning the duties of Sarbanes-Oxley for hotlines. This nonbinding record communicates that signatories will offer assistance to one another less all potential constraints degree available to verify consistence with pertinent securities rules. The notice furthermore clears up how requests for help should be made and describes rules for information use and the help of </w:t>
      </w:r>
      <w:r w:rsidR="00C873B6" w:rsidRPr="00C873B6">
        <w:rPr>
          <w:rFonts w:ascii="Times New Roman" w:hAnsi="Times New Roman" w:cs="Times New Roman"/>
          <w:sz w:val="24"/>
          <w:szCs w:val="24"/>
        </w:rPr>
        <w:t>secrecy</w:t>
      </w:r>
      <w:r w:rsidRPr="00C873B6">
        <w:rPr>
          <w:rFonts w:ascii="Times New Roman" w:hAnsi="Times New Roman" w:cs="Times New Roman"/>
          <w:sz w:val="24"/>
          <w:szCs w:val="24"/>
        </w:rPr>
        <w:t xml:space="preserve">. </w:t>
      </w:r>
    </w:p>
    <w:p w:rsidR="0049423B" w:rsidRPr="00C873B6" w:rsidRDefault="002046AB" w:rsidP="00C873B6">
      <w:pPr>
        <w:spacing w:line="480" w:lineRule="auto"/>
        <w:jc w:val="center"/>
        <w:rPr>
          <w:rFonts w:ascii="Times New Roman" w:hAnsi="Times New Roman" w:cs="Times New Roman"/>
          <w:sz w:val="24"/>
          <w:szCs w:val="24"/>
        </w:rPr>
      </w:pPr>
      <w:r w:rsidRPr="00C873B6">
        <w:rPr>
          <w:rFonts w:ascii="Times New Roman" w:hAnsi="Times New Roman" w:cs="Times New Roman"/>
          <w:b/>
          <w:sz w:val="24"/>
          <w:szCs w:val="24"/>
          <w:lang w:val="en-IN"/>
        </w:rPr>
        <w:lastRenderedPageBreak/>
        <w:t>References</w:t>
      </w:r>
    </w:p>
    <w:p w:rsidR="00C873B6" w:rsidRPr="00C873B6" w:rsidRDefault="00C873B6" w:rsidP="00C873B6">
      <w:pPr>
        <w:spacing w:line="480" w:lineRule="auto"/>
        <w:ind w:left="567" w:hanging="567"/>
        <w:rPr>
          <w:rFonts w:ascii="Times New Roman" w:hAnsi="Times New Roman" w:cs="Times New Roman"/>
          <w:sz w:val="24"/>
          <w:szCs w:val="24"/>
        </w:rPr>
      </w:pPr>
      <w:proofErr w:type="gramStart"/>
      <w:r w:rsidRPr="00C873B6">
        <w:rPr>
          <w:rFonts w:ascii="Times New Roman" w:hAnsi="Times New Roman" w:cs="Times New Roman"/>
          <w:sz w:val="24"/>
          <w:szCs w:val="24"/>
        </w:rPr>
        <w:t>Hand, D. (2018).</w:t>
      </w:r>
      <w:proofErr w:type="gramEnd"/>
      <w:r w:rsidRPr="00C873B6">
        <w:rPr>
          <w:rFonts w:ascii="Times New Roman" w:hAnsi="Times New Roman" w:cs="Times New Roman"/>
          <w:sz w:val="24"/>
          <w:szCs w:val="24"/>
        </w:rPr>
        <w:t xml:space="preserve"> </w:t>
      </w:r>
      <w:proofErr w:type="gramStart"/>
      <w:r w:rsidRPr="00C873B6">
        <w:rPr>
          <w:rFonts w:ascii="Times New Roman" w:hAnsi="Times New Roman" w:cs="Times New Roman"/>
          <w:sz w:val="24"/>
          <w:szCs w:val="24"/>
        </w:rPr>
        <w:t>The Tension between Data Protection and Whistleblowing.</w:t>
      </w:r>
      <w:proofErr w:type="gramEnd"/>
      <w:r w:rsidRPr="00C873B6">
        <w:rPr>
          <w:rFonts w:ascii="Times New Roman" w:hAnsi="Times New Roman" w:cs="Times New Roman"/>
          <w:sz w:val="24"/>
          <w:szCs w:val="24"/>
        </w:rPr>
        <w:t xml:space="preserve"> </w:t>
      </w:r>
      <w:proofErr w:type="spellStart"/>
      <w:proofErr w:type="gramStart"/>
      <w:r w:rsidRPr="00C873B6">
        <w:rPr>
          <w:rFonts w:ascii="Times New Roman" w:hAnsi="Times New Roman" w:cs="Times New Roman"/>
          <w:sz w:val="24"/>
          <w:szCs w:val="24"/>
        </w:rPr>
        <w:t>Justis</w:t>
      </w:r>
      <w:proofErr w:type="spellEnd"/>
      <w:r w:rsidRPr="00C873B6">
        <w:rPr>
          <w:rFonts w:ascii="Times New Roman" w:hAnsi="Times New Roman" w:cs="Times New Roman"/>
          <w:sz w:val="24"/>
          <w:szCs w:val="24"/>
        </w:rPr>
        <w:t>.</w:t>
      </w:r>
      <w:proofErr w:type="gramEnd"/>
      <w:r w:rsidRPr="00C873B6">
        <w:rPr>
          <w:rFonts w:ascii="Times New Roman" w:hAnsi="Times New Roman" w:cs="Times New Roman"/>
          <w:sz w:val="24"/>
          <w:szCs w:val="24"/>
        </w:rPr>
        <w:t xml:space="preserve"> Retrieved from: https://www.justis.com/tension-between-data-protection-and-whistleblowing/</w:t>
      </w:r>
    </w:p>
    <w:p w:rsidR="00C873B6" w:rsidRPr="00C873B6" w:rsidRDefault="00C873B6" w:rsidP="00C873B6">
      <w:pPr>
        <w:spacing w:line="480" w:lineRule="auto"/>
        <w:ind w:left="567" w:hanging="567"/>
        <w:rPr>
          <w:rFonts w:ascii="Times New Roman" w:hAnsi="Times New Roman" w:cs="Times New Roman"/>
          <w:sz w:val="24"/>
          <w:szCs w:val="24"/>
        </w:rPr>
      </w:pPr>
      <w:proofErr w:type="spellStart"/>
      <w:proofErr w:type="gramStart"/>
      <w:r w:rsidRPr="00C873B6">
        <w:rPr>
          <w:rFonts w:ascii="Times New Roman" w:hAnsi="Times New Roman" w:cs="Times New Roman"/>
          <w:sz w:val="24"/>
          <w:szCs w:val="24"/>
        </w:rPr>
        <w:t>Koerber</w:t>
      </w:r>
      <w:proofErr w:type="spellEnd"/>
      <w:r w:rsidRPr="00C873B6">
        <w:rPr>
          <w:rFonts w:ascii="Times New Roman" w:hAnsi="Times New Roman" w:cs="Times New Roman"/>
          <w:sz w:val="24"/>
          <w:szCs w:val="24"/>
        </w:rPr>
        <w:t xml:space="preserve">, A. &amp; </w:t>
      </w:r>
      <w:proofErr w:type="spellStart"/>
      <w:r w:rsidRPr="00C873B6">
        <w:rPr>
          <w:rFonts w:ascii="Times New Roman" w:hAnsi="Times New Roman" w:cs="Times New Roman"/>
          <w:sz w:val="24"/>
          <w:szCs w:val="24"/>
        </w:rPr>
        <w:t>Wisskirchen</w:t>
      </w:r>
      <w:proofErr w:type="spellEnd"/>
      <w:r w:rsidRPr="00C873B6">
        <w:rPr>
          <w:rFonts w:ascii="Times New Roman" w:hAnsi="Times New Roman" w:cs="Times New Roman"/>
          <w:sz w:val="24"/>
          <w:szCs w:val="24"/>
        </w:rPr>
        <w:t>, G. (2016).</w:t>
      </w:r>
      <w:proofErr w:type="gramEnd"/>
      <w:r w:rsidRPr="00C873B6">
        <w:rPr>
          <w:rFonts w:ascii="Times New Roman" w:hAnsi="Times New Roman" w:cs="Times New Roman"/>
          <w:sz w:val="24"/>
          <w:szCs w:val="24"/>
        </w:rPr>
        <w:t xml:space="preserve"> </w:t>
      </w:r>
      <w:proofErr w:type="gramStart"/>
      <w:r w:rsidRPr="00C873B6">
        <w:rPr>
          <w:rFonts w:ascii="Times New Roman" w:hAnsi="Times New Roman" w:cs="Times New Roman"/>
          <w:sz w:val="24"/>
          <w:szCs w:val="24"/>
        </w:rPr>
        <w:t xml:space="preserve">Codes of Conduct and </w:t>
      </w:r>
      <w:proofErr w:type="spellStart"/>
      <w:r w:rsidRPr="00C873B6">
        <w:rPr>
          <w:rFonts w:ascii="Times New Roman" w:hAnsi="Times New Roman" w:cs="Times New Roman"/>
          <w:sz w:val="24"/>
          <w:szCs w:val="24"/>
        </w:rPr>
        <w:t>Ehtics</w:t>
      </w:r>
      <w:proofErr w:type="spellEnd"/>
      <w:r w:rsidRPr="00C873B6">
        <w:rPr>
          <w:rFonts w:ascii="Times New Roman" w:hAnsi="Times New Roman" w:cs="Times New Roman"/>
          <w:sz w:val="24"/>
          <w:szCs w:val="24"/>
        </w:rPr>
        <w:t xml:space="preserve"> Hotlines of Multinationals and their Implementation in Germany.</w:t>
      </w:r>
      <w:proofErr w:type="gramEnd"/>
      <w:r w:rsidRPr="00C873B6">
        <w:rPr>
          <w:rFonts w:ascii="Times New Roman" w:hAnsi="Times New Roman" w:cs="Times New Roman"/>
          <w:sz w:val="24"/>
          <w:szCs w:val="24"/>
        </w:rPr>
        <w:t xml:space="preserve"> </w:t>
      </w:r>
      <w:proofErr w:type="gramStart"/>
      <w:r w:rsidRPr="00C873B6">
        <w:rPr>
          <w:rFonts w:ascii="Times New Roman" w:hAnsi="Times New Roman" w:cs="Times New Roman"/>
          <w:sz w:val="24"/>
          <w:szCs w:val="24"/>
        </w:rPr>
        <w:t>American Bar.</w:t>
      </w:r>
      <w:proofErr w:type="gramEnd"/>
      <w:r w:rsidRPr="00C873B6">
        <w:rPr>
          <w:rFonts w:ascii="Times New Roman" w:hAnsi="Times New Roman" w:cs="Times New Roman"/>
          <w:sz w:val="24"/>
          <w:szCs w:val="24"/>
        </w:rPr>
        <w:t xml:space="preserve"> Retrieved from: http://apps.americanbar.org/labor/lel-aba-annual/papers/2006/11.pdf</w:t>
      </w:r>
    </w:p>
    <w:p w:rsidR="002046AB" w:rsidRPr="00C873B6" w:rsidRDefault="002046AB" w:rsidP="00C873B6">
      <w:pPr>
        <w:spacing w:line="480" w:lineRule="auto"/>
        <w:rPr>
          <w:rFonts w:ascii="Times New Roman" w:hAnsi="Times New Roman" w:cs="Times New Roman"/>
          <w:sz w:val="24"/>
          <w:szCs w:val="24"/>
        </w:rPr>
      </w:pPr>
    </w:p>
    <w:p w:rsidR="0049423B" w:rsidRPr="00C873B6" w:rsidRDefault="0049423B" w:rsidP="00C873B6">
      <w:pPr>
        <w:spacing w:line="480" w:lineRule="auto"/>
        <w:rPr>
          <w:rFonts w:ascii="Times New Roman" w:hAnsi="Times New Roman" w:cs="Times New Roman"/>
          <w:sz w:val="24"/>
          <w:szCs w:val="24"/>
        </w:rPr>
      </w:pPr>
    </w:p>
    <w:sectPr w:rsidR="0049423B" w:rsidRPr="00C873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0988"/>
    <w:rsid w:val="00077A28"/>
    <w:rsid w:val="000E4971"/>
    <w:rsid w:val="001C376A"/>
    <w:rsid w:val="002046AB"/>
    <w:rsid w:val="00370988"/>
    <w:rsid w:val="003B1445"/>
    <w:rsid w:val="0049423B"/>
    <w:rsid w:val="004C34ED"/>
    <w:rsid w:val="00800162"/>
    <w:rsid w:val="00893196"/>
    <w:rsid w:val="00C873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046AB"/>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49423B"/>
    <w:pPr>
      <w:spacing w:after="160" w:line="259" w:lineRule="auto"/>
    </w:pPr>
    <w:rPr>
      <w:lang w:val="en-IN"/>
    </w:rPr>
  </w:style>
  <w:style w:type="character" w:styleId="Hyperlink">
    <w:name w:val="Hyperlink"/>
    <w:basedOn w:val="DefaultParagraphFont"/>
    <w:uiPriority w:val="99"/>
    <w:unhideWhenUsed/>
    <w:rsid w:val="002046AB"/>
    <w:rPr>
      <w:color w:val="0000FF" w:themeColor="hyperlink"/>
      <w:u w:val="single"/>
    </w:rPr>
  </w:style>
  <w:style w:type="character" w:customStyle="1" w:styleId="Heading2Char">
    <w:name w:val="Heading 2 Char"/>
    <w:basedOn w:val="DefaultParagraphFont"/>
    <w:link w:val="Heading2"/>
    <w:uiPriority w:val="9"/>
    <w:rsid w:val="002046AB"/>
    <w:rPr>
      <w:rFonts w:ascii="Times New Roman" w:eastAsia="Times New Roman" w:hAnsi="Times New Roman" w:cs="Times New Roman"/>
      <w:b/>
      <w:bCs/>
      <w:sz w:val="36"/>
      <w:szCs w:val="36"/>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046AB"/>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49423B"/>
    <w:pPr>
      <w:spacing w:after="160" w:line="259" w:lineRule="auto"/>
    </w:pPr>
    <w:rPr>
      <w:lang w:val="en-IN"/>
    </w:rPr>
  </w:style>
  <w:style w:type="character" w:styleId="Hyperlink">
    <w:name w:val="Hyperlink"/>
    <w:basedOn w:val="DefaultParagraphFont"/>
    <w:uiPriority w:val="99"/>
    <w:unhideWhenUsed/>
    <w:rsid w:val="002046AB"/>
    <w:rPr>
      <w:color w:val="0000FF" w:themeColor="hyperlink"/>
      <w:u w:val="single"/>
    </w:rPr>
  </w:style>
  <w:style w:type="character" w:customStyle="1" w:styleId="Heading2Char">
    <w:name w:val="Heading 2 Char"/>
    <w:basedOn w:val="DefaultParagraphFont"/>
    <w:link w:val="Heading2"/>
    <w:uiPriority w:val="9"/>
    <w:rsid w:val="002046AB"/>
    <w:rPr>
      <w:rFonts w:ascii="Times New Roman" w:eastAsia="Times New Roman" w:hAnsi="Times New Roman" w:cs="Times New Roman"/>
      <w:b/>
      <w:bCs/>
      <w:sz w:val="36"/>
      <w:szCs w:val="3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3461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Rod10</b:Tag>
    <b:SourceType>JournalArticle</b:SourceType>
    <b:Guid>{ED99BCFD-9E7D-43A3-B9CE-7D808C05222A}</b:Guid>
    <b:Title>International CyberLaw</b:Title>
    <b:Year>jan 21, 2010</b:Year>
    <b:Author>
      <b:Author>
        <b:NameList>
          <b:Person>
            <b:Last>Rodham Clinton</b:Last>
          </b:Person>
        </b:NameList>
      </b:Author>
    </b:Author>
    <b:JournalName>chapter 14</b:JournalName>
    <b:RefOrder>1</b:RefOrder>
  </b:Source>
</b:Sources>
</file>

<file path=customXml/itemProps1.xml><?xml version="1.0" encoding="utf-8"?>
<ds:datastoreItem xmlns:ds="http://schemas.openxmlformats.org/officeDocument/2006/customXml" ds:itemID="{691D4474-BC0D-4937-86A9-3CE27F10D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4</Pages>
  <Words>664</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2019-03-02T19:09:00Z</dcterms:created>
  <dcterms:modified xsi:type="dcterms:W3CDTF">2019-03-03T03:03:00Z</dcterms:modified>
</cp:coreProperties>
</file>