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A1E57" w14:textId="474844F7" w:rsidR="00F86053" w:rsidRDefault="00F86053" w:rsidP="004C2E12">
      <w:pPr>
        <w:spacing w:line="360" w:lineRule="auto"/>
      </w:pPr>
    </w:p>
    <w:p w14:paraId="3A8A9790" w14:textId="71E5555D" w:rsidR="003A6C31" w:rsidRDefault="003A6C31" w:rsidP="004C2E12">
      <w:pPr>
        <w:spacing w:line="360" w:lineRule="auto"/>
      </w:pPr>
    </w:p>
    <w:p w14:paraId="0608B9C3" w14:textId="4E6218FA" w:rsidR="003A6C31" w:rsidRDefault="0033174A" w:rsidP="004C2E12">
      <w:pPr>
        <w:tabs>
          <w:tab w:val="left" w:pos="4050"/>
        </w:tabs>
        <w:spacing w:line="360" w:lineRule="auto"/>
      </w:pPr>
      <w:r>
        <w:tab/>
      </w:r>
    </w:p>
    <w:p w14:paraId="698D1248" w14:textId="64034393" w:rsidR="003A6C31" w:rsidRDefault="003A6C31" w:rsidP="004C2E12">
      <w:pPr>
        <w:spacing w:line="360" w:lineRule="auto"/>
      </w:pPr>
    </w:p>
    <w:p w14:paraId="6C443C0F" w14:textId="10C10D9A" w:rsidR="003A6C31" w:rsidRDefault="003A6C31" w:rsidP="004C2E12">
      <w:pPr>
        <w:spacing w:line="360" w:lineRule="auto"/>
      </w:pPr>
    </w:p>
    <w:p w14:paraId="5933940D" w14:textId="2AC39F06" w:rsidR="003A6C31" w:rsidRDefault="003A6C31" w:rsidP="004C2E12">
      <w:pPr>
        <w:spacing w:line="360" w:lineRule="auto"/>
      </w:pPr>
    </w:p>
    <w:p w14:paraId="2DB87D07" w14:textId="19A132D6" w:rsidR="003A6C31" w:rsidRDefault="003A6C31" w:rsidP="004C2E12">
      <w:pPr>
        <w:spacing w:line="360" w:lineRule="auto"/>
      </w:pPr>
    </w:p>
    <w:p w14:paraId="5828058C" w14:textId="78B5A427" w:rsidR="003A6C31" w:rsidRDefault="001A1EB2" w:rsidP="004C2E12">
      <w:pPr>
        <w:spacing w:line="360" w:lineRule="auto"/>
        <w:jc w:val="center"/>
      </w:pPr>
      <w:bookmarkStart w:id="0" w:name="_GoBack"/>
      <w:r>
        <w:t>IRAC Analysis</w:t>
      </w:r>
    </w:p>
    <w:bookmarkEnd w:id="0"/>
    <w:p w14:paraId="6B676EEA" w14:textId="48E54D0E" w:rsidR="003A6C31" w:rsidRDefault="001A1EB2" w:rsidP="004C2E12">
      <w:pPr>
        <w:spacing w:line="360" w:lineRule="auto"/>
        <w:jc w:val="center"/>
      </w:pPr>
      <w:r>
        <w:t>Student’s Name</w:t>
      </w:r>
    </w:p>
    <w:p w14:paraId="1FC9FB5D" w14:textId="58D52C20" w:rsidR="003A6C31" w:rsidRDefault="001A1EB2" w:rsidP="004C2E12">
      <w:pPr>
        <w:spacing w:line="360" w:lineRule="auto"/>
        <w:jc w:val="center"/>
      </w:pPr>
      <w:r>
        <w:t>Institutional Affiliation</w:t>
      </w:r>
    </w:p>
    <w:p w14:paraId="050AADD5" w14:textId="05BB6E91" w:rsidR="003A6C31" w:rsidRDefault="003A6C31" w:rsidP="004C2E12">
      <w:pPr>
        <w:spacing w:line="360" w:lineRule="auto"/>
      </w:pPr>
    </w:p>
    <w:p w14:paraId="028D6E45" w14:textId="06CC0C62" w:rsidR="003A6C31" w:rsidRDefault="003A6C31" w:rsidP="004C2E12">
      <w:pPr>
        <w:spacing w:line="360" w:lineRule="auto"/>
      </w:pPr>
    </w:p>
    <w:p w14:paraId="5D03D1BC" w14:textId="76920ABA" w:rsidR="003A6C31" w:rsidRDefault="003A6C31" w:rsidP="004C2E12">
      <w:pPr>
        <w:spacing w:line="360" w:lineRule="auto"/>
      </w:pPr>
    </w:p>
    <w:p w14:paraId="5BB272A3" w14:textId="67E4B4CC" w:rsidR="003A6C31" w:rsidRDefault="003A6C31" w:rsidP="004C2E12">
      <w:pPr>
        <w:spacing w:line="360" w:lineRule="auto"/>
      </w:pPr>
    </w:p>
    <w:p w14:paraId="4BF8F14B" w14:textId="284D9567" w:rsidR="003A6C31" w:rsidRDefault="003A6C31" w:rsidP="004C2E12">
      <w:pPr>
        <w:spacing w:line="360" w:lineRule="auto"/>
      </w:pPr>
    </w:p>
    <w:p w14:paraId="43694B03" w14:textId="396F8D94" w:rsidR="003A6C31" w:rsidRDefault="003A6C31" w:rsidP="004C2E12">
      <w:pPr>
        <w:spacing w:line="360" w:lineRule="auto"/>
      </w:pPr>
    </w:p>
    <w:p w14:paraId="0797384B" w14:textId="4F573A56" w:rsidR="003A6C31" w:rsidRDefault="003A6C31" w:rsidP="004C2E12">
      <w:pPr>
        <w:spacing w:line="360" w:lineRule="auto"/>
      </w:pPr>
    </w:p>
    <w:p w14:paraId="6065CBB5" w14:textId="3C44D01F" w:rsidR="003A6C31" w:rsidRDefault="003A6C31" w:rsidP="004C2E12">
      <w:pPr>
        <w:spacing w:line="360" w:lineRule="auto"/>
      </w:pPr>
    </w:p>
    <w:p w14:paraId="36F10848" w14:textId="57D795E2" w:rsidR="003A6C31" w:rsidRDefault="003A6C31" w:rsidP="004C2E12">
      <w:pPr>
        <w:spacing w:line="360" w:lineRule="auto"/>
      </w:pPr>
    </w:p>
    <w:p w14:paraId="049DF63E" w14:textId="3AFC54A8" w:rsidR="003A6C31" w:rsidRDefault="003A6C31" w:rsidP="004C2E12">
      <w:pPr>
        <w:spacing w:line="360" w:lineRule="auto"/>
      </w:pPr>
    </w:p>
    <w:p w14:paraId="7D488A58" w14:textId="62F03F96" w:rsidR="003A6C31" w:rsidRDefault="003A6C31" w:rsidP="004C2E12">
      <w:pPr>
        <w:spacing w:line="360" w:lineRule="auto"/>
      </w:pPr>
    </w:p>
    <w:p w14:paraId="5BA85E4F" w14:textId="6536EB24" w:rsidR="003A6C31" w:rsidRDefault="003A6C31" w:rsidP="004C2E12">
      <w:pPr>
        <w:spacing w:line="360" w:lineRule="auto"/>
      </w:pPr>
    </w:p>
    <w:p w14:paraId="5F4E4AD9" w14:textId="77777777" w:rsidR="004C2E12" w:rsidRDefault="004C2E12">
      <w:pPr>
        <w:rPr>
          <w:b/>
          <w:bCs/>
          <w:sz w:val="28"/>
          <w:szCs w:val="28"/>
          <w:u w:val="single"/>
        </w:rPr>
      </w:pPr>
      <w:r>
        <w:rPr>
          <w:b/>
          <w:bCs/>
          <w:sz w:val="28"/>
          <w:szCs w:val="28"/>
          <w:u w:val="single"/>
        </w:rPr>
        <w:br w:type="page"/>
      </w:r>
    </w:p>
    <w:p w14:paraId="7E93640D" w14:textId="0BA8A1A7" w:rsidR="003A6C31" w:rsidRPr="00E231F2" w:rsidRDefault="001A1EB2" w:rsidP="004C2E12">
      <w:pPr>
        <w:spacing w:line="360" w:lineRule="auto"/>
        <w:jc w:val="center"/>
        <w:rPr>
          <w:b/>
          <w:bCs/>
          <w:sz w:val="28"/>
          <w:szCs w:val="28"/>
          <w:u w:val="single"/>
        </w:rPr>
      </w:pPr>
      <w:r w:rsidRPr="00E231F2">
        <w:rPr>
          <w:b/>
          <w:bCs/>
          <w:sz w:val="28"/>
          <w:szCs w:val="28"/>
          <w:u w:val="single"/>
        </w:rPr>
        <w:lastRenderedPageBreak/>
        <w:t>IRAC analysis</w:t>
      </w:r>
    </w:p>
    <w:p w14:paraId="342BC9B2" w14:textId="077ADA12" w:rsidR="003A6C31" w:rsidRPr="00E231F2" w:rsidRDefault="001A1EB2" w:rsidP="004C2E12">
      <w:pPr>
        <w:spacing w:line="360" w:lineRule="auto"/>
        <w:rPr>
          <w:b/>
          <w:bCs/>
        </w:rPr>
      </w:pPr>
      <w:r w:rsidRPr="00E231F2">
        <w:rPr>
          <w:b/>
          <w:bCs/>
        </w:rPr>
        <w:t>Issue</w:t>
      </w:r>
    </w:p>
    <w:p w14:paraId="30044110" w14:textId="4F25D0EC" w:rsidR="003A6C31" w:rsidRDefault="001A1EB2" w:rsidP="004C2E12">
      <w:pPr>
        <w:spacing w:line="360" w:lineRule="auto"/>
      </w:pPr>
      <w:r>
        <w:t xml:space="preserve"> </w:t>
      </w:r>
      <w:r w:rsidR="009F5DD2">
        <w:tab/>
      </w:r>
      <w:r>
        <w:t xml:space="preserve">According to the case study, the outlined issue entails breaching of property ownership contract. According to the case study, there are three ladies, namely, Patricia, Sandra, and Louise, where they all belong to Britain as well as American nationality. Initially, all three </w:t>
      </w:r>
      <w:r w:rsidR="0092052E">
        <w:t>ladies</w:t>
      </w:r>
      <w:r>
        <w:t xml:space="preserve"> had agreed to rent an apartment in </w:t>
      </w:r>
      <w:r w:rsidR="0092052E">
        <w:t>partnership</w:t>
      </w:r>
      <w:r>
        <w:t xml:space="preserve">. However, </w:t>
      </w:r>
      <w:r w:rsidR="0092052E">
        <w:t>Patricia</w:t>
      </w:r>
      <w:r>
        <w:t xml:space="preserve"> changed her mind as a result of </w:t>
      </w:r>
      <w:r w:rsidR="0092052E">
        <w:t>companies</w:t>
      </w:r>
      <w:r>
        <w:t xml:space="preserve"> related issues, making Sandra and </w:t>
      </w:r>
      <w:r w:rsidR="0092052E">
        <w:t>Louise</w:t>
      </w:r>
      <w:r>
        <w:t xml:space="preserve"> continue with the </w:t>
      </w:r>
      <w:r w:rsidR="0092052E">
        <w:t>arrangement</w:t>
      </w:r>
      <w:r>
        <w:t xml:space="preserve"> of renting the apartment. Both ladies find an apartment and agree on terms that are written </w:t>
      </w:r>
      <w:r w:rsidR="00596441">
        <w:t>in</w:t>
      </w:r>
      <w:r>
        <w:t xml:space="preserve"> an Arabic document, which they both do</w:t>
      </w:r>
      <w:r w:rsidR="00596441">
        <w:t xml:space="preserve"> not</w:t>
      </w:r>
      <w:r>
        <w:t xml:space="preserve"> understand.</w:t>
      </w:r>
    </w:p>
    <w:p w14:paraId="55740CAC" w14:textId="0B86B20E" w:rsidR="00596441" w:rsidRDefault="001A1EB2" w:rsidP="004C2E12">
      <w:pPr>
        <w:spacing w:line="360" w:lineRule="auto"/>
      </w:pPr>
      <w:r>
        <w:t xml:space="preserve"> </w:t>
      </w:r>
      <w:r w:rsidR="009F5DD2">
        <w:tab/>
      </w:r>
      <w:r>
        <w:t xml:space="preserve">An effort to interpret the contract terms is not made, and these may be the </w:t>
      </w:r>
      <w:r w:rsidR="0092052E">
        <w:t>case for</w:t>
      </w:r>
      <w:r>
        <w:t xml:space="preserve"> the contract breach by Sandra ad </w:t>
      </w:r>
      <w:r w:rsidR="0092052E">
        <w:t>Louise</w:t>
      </w:r>
      <w:r>
        <w:t xml:space="preserve">. The two ladies were to rent the apartment </w:t>
      </w:r>
      <w:r w:rsidR="0092052E">
        <w:t>after</w:t>
      </w:r>
      <w:r>
        <w:t xml:space="preserve"> their vacation period and buy the </w:t>
      </w:r>
      <w:r w:rsidR="0092052E">
        <w:t>furniture</w:t>
      </w:r>
      <w:r>
        <w:t xml:space="preserve"> which was owned by the </w:t>
      </w:r>
      <w:r w:rsidR="0092052E">
        <w:t>tenants</w:t>
      </w:r>
      <w:r>
        <w:t xml:space="preserve"> residing in the </w:t>
      </w:r>
      <w:r w:rsidR="0092052E">
        <w:t>apartment</w:t>
      </w:r>
      <w:r>
        <w:t xml:space="preserve">. </w:t>
      </w:r>
      <w:r w:rsidR="0092052E">
        <w:t>Consequently</w:t>
      </w:r>
      <w:r>
        <w:t xml:space="preserve">, the two ladies changed </w:t>
      </w:r>
      <w:r w:rsidR="0092052E">
        <w:t>their</w:t>
      </w:r>
      <w:r>
        <w:t xml:space="preserve"> minds after a vacation, where they decided to live separately, and these made the landlord demand payment for a full year as well as funds for the </w:t>
      </w:r>
      <w:r w:rsidR="0092052E">
        <w:t>furniture</w:t>
      </w:r>
      <w:r>
        <w:t xml:space="preserve"> as compensation </w:t>
      </w:r>
      <w:r w:rsidR="0092052E">
        <w:t>for (</w:t>
      </w:r>
      <w:r w:rsidR="00FC32C5" w:rsidRPr="00FC32C5">
        <w:rPr>
          <w:color w:val="222222"/>
          <w:shd w:val="clear" w:color="auto" w:fill="FFFFFF"/>
        </w:rPr>
        <w:t>Ibrahim</w:t>
      </w:r>
      <w:r w:rsidR="00FC32C5">
        <w:rPr>
          <w:color w:val="222222"/>
          <w:shd w:val="clear" w:color="auto" w:fill="FFFFFF"/>
        </w:rPr>
        <w:t xml:space="preserve"> et al.</w:t>
      </w:r>
      <w:r w:rsidR="004C2E12">
        <w:rPr>
          <w:color w:val="222222"/>
          <w:shd w:val="clear" w:color="auto" w:fill="FFFFFF"/>
        </w:rPr>
        <w:t>,</w:t>
      </w:r>
      <w:r w:rsidR="00FC32C5">
        <w:rPr>
          <w:color w:val="222222"/>
          <w:shd w:val="clear" w:color="auto" w:fill="FFFFFF"/>
        </w:rPr>
        <w:t xml:space="preserve"> 2018)</w:t>
      </w:r>
      <w:r>
        <w:t xml:space="preserve">. Sandra and Louise give the option of paying the house for three months as compensation for lacking to meet the agreed terms. The two parties failed to agree </w:t>
      </w:r>
      <w:r w:rsidR="0092052E">
        <w:t>on</w:t>
      </w:r>
      <w:r>
        <w:t xml:space="preserve"> what </w:t>
      </w:r>
      <w:r w:rsidR="0092052E">
        <w:t>favored</w:t>
      </w:r>
      <w:r>
        <w:t xml:space="preserve"> </w:t>
      </w:r>
      <w:r w:rsidR="0092052E">
        <w:t>both</w:t>
      </w:r>
      <w:r>
        <w:t xml:space="preserve"> of them, and these led to seeking legal intervention. </w:t>
      </w:r>
    </w:p>
    <w:p w14:paraId="6C92F10E" w14:textId="21C8AC45" w:rsidR="00596441" w:rsidRPr="00E231F2" w:rsidRDefault="001A1EB2" w:rsidP="004C2E12">
      <w:pPr>
        <w:spacing w:line="360" w:lineRule="auto"/>
        <w:rPr>
          <w:b/>
          <w:bCs/>
        </w:rPr>
      </w:pPr>
      <w:r w:rsidRPr="00E231F2">
        <w:rPr>
          <w:b/>
          <w:bCs/>
        </w:rPr>
        <w:t>Rule</w:t>
      </w:r>
    </w:p>
    <w:p w14:paraId="6A70E829" w14:textId="49697BBB" w:rsidR="00507152" w:rsidRDefault="001A1EB2" w:rsidP="004C2E12">
      <w:pPr>
        <w:spacing w:line="360" w:lineRule="auto"/>
      </w:pPr>
      <w:r>
        <w:tab/>
        <w:t xml:space="preserve">The rules of the contract were </w:t>
      </w:r>
      <w:r w:rsidR="004C2E12">
        <w:t>written</w:t>
      </w:r>
      <w:r>
        <w:t xml:space="preserve"> in </w:t>
      </w:r>
      <w:r w:rsidR="0092052E">
        <w:t>Arabic</w:t>
      </w:r>
      <w:r>
        <w:t xml:space="preserve">, which </w:t>
      </w:r>
      <w:r w:rsidR="0092052E">
        <w:t>Sandra</w:t>
      </w:r>
      <w:r>
        <w:t xml:space="preserve"> and Louise did not understand, and </w:t>
      </w:r>
      <w:r w:rsidR="0092052E">
        <w:t>these aspects</w:t>
      </w:r>
      <w:r>
        <w:t xml:space="preserve"> provided the </w:t>
      </w:r>
      <w:r w:rsidR="0092052E">
        <w:t>landlord</w:t>
      </w:r>
      <w:r>
        <w:t xml:space="preserve"> with a legal advantage. The advantage of the landlord of the apartment intended to be rented was that h</w:t>
      </w:r>
      <w:r w:rsidR="0092052E">
        <w:t>e</w:t>
      </w:r>
      <w:r>
        <w:t xml:space="preserve"> might </w:t>
      </w:r>
      <w:r w:rsidR="0092052E">
        <w:t>have</w:t>
      </w:r>
      <w:r>
        <w:t xml:space="preserve"> included terms in </w:t>
      </w:r>
      <w:r w:rsidR="0092052E">
        <w:t>the</w:t>
      </w:r>
      <w:r>
        <w:t xml:space="preserve"> agreement </w:t>
      </w:r>
      <w:r w:rsidR="0092052E">
        <w:t>f</w:t>
      </w:r>
      <w:r>
        <w:t>or his favor if the ladies failed to meet the condition. Additionally, the contrac</w:t>
      </w:r>
      <w:r w:rsidR="0092052E">
        <w:t>t</w:t>
      </w:r>
      <w:r>
        <w:t xml:space="preserve"> was property ownership contract where in most cases, it </w:t>
      </w:r>
      <w:r w:rsidR="0092052E">
        <w:t>entails</w:t>
      </w:r>
      <w:r>
        <w:t xml:space="preserve"> terms under which both parties had agreed on regarding ownership or renting the property. The two ladies had agreed to rent the house, and they were to purchase the </w:t>
      </w:r>
      <w:r w:rsidR="0092052E">
        <w:t>furniture</w:t>
      </w:r>
      <w:r>
        <w:t xml:space="preserve"> which was owned by </w:t>
      </w:r>
      <w:r w:rsidR="0092052E">
        <w:t>tenants</w:t>
      </w:r>
      <w:r>
        <w:t xml:space="preserve"> of the </w:t>
      </w:r>
      <w:r w:rsidR="0092052E">
        <w:t>apartment (</w:t>
      </w:r>
      <w:r w:rsidR="00FC32C5" w:rsidRPr="00FC32C5">
        <w:rPr>
          <w:color w:val="222222"/>
          <w:shd w:val="clear" w:color="auto" w:fill="FFFFFF"/>
        </w:rPr>
        <w:t>Ibrahim</w:t>
      </w:r>
      <w:r w:rsidR="00FC32C5">
        <w:rPr>
          <w:color w:val="222222"/>
          <w:shd w:val="clear" w:color="auto" w:fill="FFFFFF"/>
        </w:rPr>
        <w:t xml:space="preserve"> et al.</w:t>
      </w:r>
      <w:r w:rsidR="004C2E12">
        <w:rPr>
          <w:color w:val="222222"/>
          <w:shd w:val="clear" w:color="auto" w:fill="FFFFFF"/>
        </w:rPr>
        <w:t>,</w:t>
      </w:r>
      <w:r w:rsidR="00FC32C5">
        <w:rPr>
          <w:color w:val="222222"/>
          <w:shd w:val="clear" w:color="auto" w:fill="FFFFFF"/>
        </w:rPr>
        <w:t xml:space="preserve"> 2018)</w:t>
      </w:r>
      <w:r>
        <w:t xml:space="preserve">. Sandra was the primary contact in the apartment contract. Some detailed information on the agreement </w:t>
      </w:r>
      <w:r w:rsidR="0092052E">
        <w:t>was</w:t>
      </w:r>
      <w:r>
        <w:t xml:space="preserve"> not clear due to the Arabic language used proving a significant weakness in the contract. </w:t>
      </w:r>
    </w:p>
    <w:p w14:paraId="44D9B825" w14:textId="77777777" w:rsidR="00507152" w:rsidRPr="00E231F2" w:rsidRDefault="001A1EB2" w:rsidP="004C2E12">
      <w:pPr>
        <w:spacing w:line="360" w:lineRule="auto"/>
        <w:rPr>
          <w:b/>
          <w:bCs/>
        </w:rPr>
      </w:pPr>
      <w:r w:rsidRPr="00E231F2">
        <w:rPr>
          <w:b/>
          <w:bCs/>
        </w:rPr>
        <w:t>Analysis</w:t>
      </w:r>
    </w:p>
    <w:p w14:paraId="28B4D467" w14:textId="50E20FD8" w:rsidR="001257F3" w:rsidRDefault="001A1EB2" w:rsidP="004C2E12">
      <w:pPr>
        <w:spacing w:line="360" w:lineRule="auto"/>
      </w:pPr>
      <w:r>
        <w:lastRenderedPageBreak/>
        <w:t xml:space="preserve"> </w:t>
      </w:r>
      <w:r w:rsidR="009F5DD2">
        <w:tab/>
      </w:r>
      <w:r>
        <w:t xml:space="preserve">The primary purpose of property ownership is to formalize and ensure a smooth running in property ownership. The terms in the contract should be clear to both parties and agreed upon before signing. In the case of Sandra and Louise, they did not understand the written term but only had agreed on verbal terms of a contract. Penalties of failing to meet the demands of the agreement are initially agreed upon before the actual signing. Seeking legal action by the landlord </w:t>
      </w:r>
      <w:r w:rsidR="0092052E">
        <w:t>against</w:t>
      </w:r>
      <w:r>
        <w:t xml:space="preserve"> the two ladies may have proven inefficient since only Sandra’s details were written correctly. Louise's details were </w:t>
      </w:r>
      <w:r w:rsidR="0092052E">
        <w:t>improperly written</w:t>
      </w:r>
      <w:r>
        <w:t xml:space="preserve">, and these excluded her from the case, and </w:t>
      </w:r>
      <w:r w:rsidR="0092052E">
        <w:t>these aspects</w:t>
      </w:r>
      <w:r>
        <w:t xml:space="preserve"> failed to apply the contract binding logic. The parties involved in a deal should stick together through the whole legal process</w:t>
      </w:r>
      <w:r w:rsidR="00FC32C5" w:rsidRPr="00FC32C5">
        <w:rPr>
          <w:color w:val="222222"/>
          <w:shd w:val="clear" w:color="auto" w:fill="FFFFFF"/>
        </w:rPr>
        <w:t xml:space="preserve"> </w:t>
      </w:r>
      <w:r w:rsidR="00FC32C5">
        <w:rPr>
          <w:color w:val="222222"/>
          <w:shd w:val="clear" w:color="auto" w:fill="FFFFFF"/>
        </w:rPr>
        <w:t>(</w:t>
      </w:r>
      <w:r w:rsidR="00FC32C5" w:rsidRPr="00FC32C5">
        <w:rPr>
          <w:color w:val="222222"/>
          <w:shd w:val="clear" w:color="auto" w:fill="FFFFFF"/>
        </w:rPr>
        <w:t>Price</w:t>
      </w:r>
      <w:r w:rsidR="00FC32C5">
        <w:rPr>
          <w:color w:val="222222"/>
          <w:shd w:val="clear" w:color="auto" w:fill="FFFFFF"/>
        </w:rPr>
        <w:t xml:space="preserve"> et al.,</w:t>
      </w:r>
      <w:r w:rsidR="004C2E12">
        <w:rPr>
          <w:color w:val="222222"/>
          <w:shd w:val="clear" w:color="auto" w:fill="FFFFFF"/>
        </w:rPr>
        <w:t xml:space="preserve"> </w:t>
      </w:r>
      <w:r w:rsidR="00FC32C5">
        <w:rPr>
          <w:color w:val="222222"/>
          <w:shd w:val="clear" w:color="auto" w:fill="FFFFFF"/>
        </w:rPr>
        <w:t>2017)</w:t>
      </w:r>
      <w:r>
        <w:t xml:space="preserve">. In most cases seeking legal action in a contract is the final step, and this is after all the options of </w:t>
      </w:r>
      <w:r w:rsidR="0092052E">
        <w:t>peaceful</w:t>
      </w:r>
      <w:r>
        <w:t xml:space="preserve"> settling of disputes are done. Sandra was left alone, answering the charges pressed against her, and the case continued even after the landlord secured other </w:t>
      </w:r>
      <w:r w:rsidR="0092052E">
        <w:t>tenants</w:t>
      </w:r>
      <w:r>
        <w:t>.</w:t>
      </w:r>
    </w:p>
    <w:p w14:paraId="46701427" w14:textId="082B5AFB" w:rsidR="001257F3" w:rsidRPr="00E231F2" w:rsidRDefault="001A1EB2" w:rsidP="004C2E12">
      <w:pPr>
        <w:spacing w:line="360" w:lineRule="auto"/>
        <w:rPr>
          <w:b/>
          <w:bCs/>
        </w:rPr>
      </w:pPr>
      <w:r w:rsidRPr="00E231F2">
        <w:rPr>
          <w:b/>
          <w:bCs/>
        </w:rPr>
        <w:t>Conclusion</w:t>
      </w:r>
    </w:p>
    <w:p w14:paraId="4256201A" w14:textId="6FF26C3F" w:rsidR="001257F3" w:rsidRDefault="001A1EB2" w:rsidP="004C2E12">
      <w:pPr>
        <w:spacing w:line="360" w:lineRule="auto"/>
      </w:pPr>
      <w:r>
        <w:tab/>
      </w:r>
      <w:r w:rsidR="00E231F2">
        <w:t xml:space="preserve">Contract </w:t>
      </w:r>
      <w:r w:rsidR="009F5DD2">
        <w:t>b</w:t>
      </w:r>
      <w:r w:rsidR="00E231F2">
        <w:t xml:space="preserve">reaching occurs in two ways, </w:t>
      </w:r>
      <w:r w:rsidR="0092052E">
        <w:t>which</w:t>
      </w:r>
      <w:r w:rsidR="00E231F2">
        <w:t xml:space="preserve"> are fundamental and </w:t>
      </w:r>
      <w:r w:rsidR="0092052E">
        <w:t>non-fundamental</w:t>
      </w:r>
      <w:r w:rsidR="00E231F2">
        <w:t xml:space="preserve">. For the case of Sandra and Louise. Breaching was fundamental since it was based on </w:t>
      </w:r>
      <w:r w:rsidR="0092052E">
        <w:t>critical, work</w:t>
      </w:r>
      <w:r w:rsidR="00E231F2">
        <w:t xml:space="preserve">-related circumstances. </w:t>
      </w:r>
      <w:r w:rsidR="0092052E">
        <w:t>Additionally,</w:t>
      </w:r>
      <w:r w:rsidR="00E231F2">
        <w:t xml:space="preserve"> both ladies had offered to compensate for failing to meet the </w:t>
      </w:r>
      <w:r w:rsidR="0092052E">
        <w:t>agreed</w:t>
      </w:r>
      <w:r w:rsidR="00E231F2">
        <w:t xml:space="preserve"> terms and give time for the landlord to find new tenants. The aspect of a landlord seeking legal action as well as demanding payment for the </w:t>
      </w:r>
      <w:r w:rsidR="0092052E">
        <w:t>furniture</w:t>
      </w:r>
      <w:r w:rsidR="00E231F2">
        <w:t xml:space="preserve"> did not apply logic since the two ladies were not to </w:t>
      </w:r>
      <w:r w:rsidR="0092052E">
        <w:t>occupy</w:t>
      </w:r>
      <w:r w:rsidR="00E231F2">
        <w:t xml:space="preserve"> the apartment. The issue of </w:t>
      </w:r>
      <w:r w:rsidR="0092052E">
        <w:t>one-party</w:t>
      </w:r>
      <w:r w:rsidR="00E231F2">
        <w:t xml:space="preserve"> taking advantage of the other is evident where the landlord was to benefit as it was written in </w:t>
      </w:r>
      <w:r w:rsidR="0092052E">
        <w:t>Arabic</w:t>
      </w:r>
      <w:r w:rsidR="00E231F2">
        <w:t xml:space="preserve">, which the two </w:t>
      </w:r>
      <w:r w:rsidR="0092052E">
        <w:t>ladies</w:t>
      </w:r>
      <w:r w:rsidR="00E231F2">
        <w:t xml:space="preserve"> did not understand.   </w:t>
      </w:r>
    </w:p>
    <w:p w14:paraId="6168AAA5" w14:textId="7DCFD1E9" w:rsidR="001257F3" w:rsidRDefault="001A1EB2" w:rsidP="004C2E12">
      <w:pPr>
        <w:spacing w:line="360" w:lineRule="auto"/>
      </w:pPr>
      <w:r>
        <w:t xml:space="preserve"> </w:t>
      </w:r>
    </w:p>
    <w:p w14:paraId="2A859CA6" w14:textId="6E321247" w:rsidR="00930532" w:rsidRDefault="001A1EB2" w:rsidP="004C2E12">
      <w:pPr>
        <w:spacing w:line="360" w:lineRule="auto"/>
      </w:pPr>
      <w:r>
        <w:t xml:space="preserve"> </w:t>
      </w:r>
    </w:p>
    <w:p w14:paraId="11F41127" w14:textId="5B42B33F" w:rsidR="00E231F2" w:rsidRDefault="00E231F2" w:rsidP="004C2E12">
      <w:pPr>
        <w:spacing w:line="360" w:lineRule="auto"/>
      </w:pPr>
    </w:p>
    <w:p w14:paraId="28E36CED" w14:textId="37D68F4C" w:rsidR="00E231F2" w:rsidRDefault="00E231F2" w:rsidP="004C2E12">
      <w:pPr>
        <w:spacing w:line="360" w:lineRule="auto"/>
      </w:pPr>
    </w:p>
    <w:p w14:paraId="3D443039" w14:textId="7BFADDD5" w:rsidR="00E231F2" w:rsidRDefault="00E231F2" w:rsidP="004C2E12">
      <w:pPr>
        <w:spacing w:line="360" w:lineRule="auto"/>
      </w:pPr>
    </w:p>
    <w:p w14:paraId="621D407E" w14:textId="17401564" w:rsidR="00E231F2" w:rsidRDefault="00E231F2" w:rsidP="004C2E12">
      <w:pPr>
        <w:spacing w:line="360" w:lineRule="auto"/>
      </w:pPr>
    </w:p>
    <w:p w14:paraId="10815B39" w14:textId="4D954E88" w:rsidR="00E231F2" w:rsidRDefault="00E231F2" w:rsidP="004C2E12">
      <w:pPr>
        <w:spacing w:line="360" w:lineRule="auto"/>
      </w:pPr>
    </w:p>
    <w:p w14:paraId="3FAC0BB9" w14:textId="1BC82960" w:rsidR="00E231F2" w:rsidRDefault="001A1EB2" w:rsidP="004C2E12">
      <w:pPr>
        <w:spacing w:line="360" w:lineRule="auto"/>
        <w:jc w:val="center"/>
      </w:pPr>
      <w:r>
        <w:lastRenderedPageBreak/>
        <w:t>References</w:t>
      </w:r>
    </w:p>
    <w:p w14:paraId="350F7454" w14:textId="77777777" w:rsidR="00FC32C5" w:rsidRPr="00FC32C5" w:rsidRDefault="001A1EB2" w:rsidP="004C2E12">
      <w:pPr>
        <w:spacing w:line="360" w:lineRule="auto"/>
        <w:ind w:left="720" w:hanging="720"/>
      </w:pPr>
      <w:r w:rsidRPr="00FC32C5">
        <w:rPr>
          <w:color w:val="222222"/>
          <w:shd w:val="clear" w:color="auto" w:fill="FFFFFF"/>
        </w:rPr>
        <w:t xml:space="preserve">Ibrahim, W. E. (2018). Foreigners' real estate property in the United Arab Emirates: Comparative study. </w:t>
      </w:r>
      <w:r w:rsidRPr="00FC32C5">
        <w:rPr>
          <w:i/>
          <w:iCs/>
          <w:color w:val="222222"/>
          <w:shd w:val="clear" w:color="auto" w:fill="FFFFFF"/>
        </w:rPr>
        <w:t>Dafātir al-Siyāsah wa-al-Qānūn</w:t>
      </w:r>
      <w:r w:rsidRPr="00FC32C5">
        <w:rPr>
          <w:color w:val="222222"/>
          <w:shd w:val="clear" w:color="auto" w:fill="FFFFFF"/>
        </w:rPr>
        <w:t>, </w:t>
      </w:r>
      <w:r w:rsidRPr="00FC32C5">
        <w:rPr>
          <w:i/>
          <w:iCs/>
          <w:color w:val="222222"/>
          <w:shd w:val="clear" w:color="auto" w:fill="FFFFFF"/>
        </w:rPr>
        <w:t>278</w:t>
      </w:r>
      <w:r w:rsidRPr="00FC32C5">
        <w:rPr>
          <w:color w:val="222222"/>
          <w:shd w:val="clear" w:color="auto" w:fill="FFFFFF"/>
        </w:rPr>
        <w:t>(5784), 1-18.</w:t>
      </w:r>
    </w:p>
    <w:p w14:paraId="2CEE8884" w14:textId="77777777" w:rsidR="00FC32C5" w:rsidRPr="00FC32C5" w:rsidRDefault="001A1EB2" w:rsidP="004C2E12">
      <w:pPr>
        <w:spacing w:line="360" w:lineRule="auto"/>
        <w:ind w:left="720" w:hanging="720"/>
        <w:rPr>
          <w:color w:val="222222"/>
          <w:shd w:val="clear" w:color="auto" w:fill="FFFFFF"/>
        </w:rPr>
      </w:pPr>
      <w:r w:rsidRPr="00FC32C5">
        <w:rPr>
          <w:color w:val="222222"/>
          <w:shd w:val="clear" w:color="auto" w:fill="FFFFFF"/>
        </w:rPr>
        <w:t>Price, D., &amp; AlDebasi, A. (2017). </w:t>
      </w:r>
      <w:r w:rsidRPr="00FC32C5">
        <w:rPr>
          <w:i/>
          <w:iCs/>
          <w:color w:val="222222"/>
          <w:shd w:val="clear" w:color="auto" w:fill="FFFFFF"/>
        </w:rPr>
        <w:t>Protecting Intellectual Property in the Arabian Peninsula: The GCC States, Jordan, and Yemen</w:t>
      </w:r>
      <w:r w:rsidRPr="00FC32C5">
        <w:rPr>
          <w:color w:val="222222"/>
          <w:shd w:val="clear" w:color="auto" w:fill="FFFFFF"/>
        </w:rPr>
        <w:t>. Routledge.</w:t>
      </w:r>
    </w:p>
    <w:p w14:paraId="54177EC7" w14:textId="419D9543" w:rsidR="00596441" w:rsidRDefault="001A1EB2" w:rsidP="004C2E12">
      <w:pPr>
        <w:spacing w:line="360" w:lineRule="auto"/>
      </w:pPr>
      <w:r>
        <w:t xml:space="preserve"> </w:t>
      </w:r>
    </w:p>
    <w:p w14:paraId="3055E3A3" w14:textId="77777777" w:rsidR="003A6C31" w:rsidRDefault="003A6C31" w:rsidP="004C2E12">
      <w:pPr>
        <w:spacing w:line="360" w:lineRule="auto"/>
      </w:pPr>
    </w:p>
    <w:sectPr w:rsidR="003A6C31" w:rsidSect="003A6C3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36FCE6" w14:textId="77777777" w:rsidR="00CD0A55" w:rsidRDefault="00CD0A55">
      <w:pPr>
        <w:spacing w:after="0" w:line="240" w:lineRule="auto"/>
      </w:pPr>
      <w:r>
        <w:separator/>
      </w:r>
    </w:p>
  </w:endnote>
  <w:endnote w:type="continuationSeparator" w:id="0">
    <w:p w14:paraId="61A1EA5E" w14:textId="77777777" w:rsidR="00CD0A55" w:rsidRDefault="00CD0A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46E919" w14:textId="77777777" w:rsidR="00CD0A55" w:rsidRDefault="00CD0A55">
      <w:pPr>
        <w:spacing w:after="0" w:line="240" w:lineRule="auto"/>
      </w:pPr>
      <w:r>
        <w:separator/>
      </w:r>
    </w:p>
  </w:footnote>
  <w:footnote w:type="continuationSeparator" w:id="0">
    <w:p w14:paraId="4B93B9C6" w14:textId="77777777" w:rsidR="00CD0A55" w:rsidRDefault="00CD0A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032DFC" w14:textId="2100CC99" w:rsidR="003A6C31" w:rsidRDefault="001A1EB2">
    <w:pPr>
      <w:pStyle w:val="Header"/>
    </w:pPr>
    <w:r>
      <w:t xml:space="preserve">IRAC ANALYSIS         </w:t>
    </w:r>
    <w:r w:rsidR="0033174A">
      <w:tab/>
    </w:r>
    <w:r>
      <w:t xml:space="preserve">                                                                                                               </w:t>
    </w:r>
    <w:sdt>
      <w:sdtPr>
        <w:id w:val="8212281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C2E12">
          <w:rPr>
            <w:noProof/>
          </w:rPr>
          <w:t>4</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4B9ECE" w14:textId="34F21E75" w:rsidR="003A6C31" w:rsidRDefault="001A1EB2" w:rsidP="0033174A">
    <w:pPr>
      <w:pStyle w:val="Header"/>
    </w:pPr>
    <w:r>
      <w:t xml:space="preserve">Running head: IRAC ANALYSIS  </w:t>
    </w:r>
    <w:r w:rsidR="0033174A">
      <w:tab/>
    </w:r>
    <w:r>
      <w:t xml:space="preserve">                                                                                            </w:t>
    </w:r>
    <w:sdt>
      <w:sdtPr>
        <w:id w:val="18074309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C2E12">
          <w:rPr>
            <w:noProof/>
          </w:rPr>
          <w:t>1</w:t>
        </w:r>
        <w:r>
          <w:rPr>
            <w:noProof/>
          </w:rPr>
          <w:fldChar w:fldCharType="end"/>
        </w:r>
      </w:sdtContent>
    </w:sdt>
  </w:p>
  <w:p w14:paraId="5A182890" w14:textId="77777777" w:rsidR="003A6C31" w:rsidRDefault="003A6C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C31"/>
    <w:rsid w:val="001257F3"/>
    <w:rsid w:val="001A1EB2"/>
    <w:rsid w:val="0033174A"/>
    <w:rsid w:val="003A6C31"/>
    <w:rsid w:val="004C2E12"/>
    <w:rsid w:val="00507152"/>
    <w:rsid w:val="00596441"/>
    <w:rsid w:val="0092052E"/>
    <w:rsid w:val="00930532"/>
    <w:rsid w:val="009F5DD2"/>
    <w:rsid w:val="00CD0A55"/>
    <w:rsid w:val="00E231F2"/>
    <w:rsid w:val="00E4433C"/>
    <w:rsid w:val="00ED5C1A"/>
    <w:rsid w:val="00F86053"/>
    <w:rsid w:val="00FC32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FBB9F"/>
  <w15:chartTrackingRefBased/>
  <w15:docId w15:val="{717B4E61-590D-478A-9A9E-26225A807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6C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C31"/>
  </w:style>
  <w:style w:type="paragraph" w:styleId="Footer">
    <w:name w:val="footer"/>
    <w:basedOn w:val="Normal"/>
    <w:link w:val="FooterChar"/>
    <w:uiPriority w:val="99"/>
    <w:unhideWhenUsed/>
    <w:rsid w:val="003A6C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667</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2020-04-09T13:08:00Z</dcterms:created>
  <dcterms:modified xsi:type="dcterms:W3CDTF">2020-04-09T13:08:00Z</dcterms:modified>
</cp:coreProperties>
</file>