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bookmarkStart w:id="0" w:name="_GoBack"/>
      <w:bookmarkEnd w:id="0"/>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THE ISO 14001 AND AA1000 REGULATIONS</w:t>
      </w: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Name</w:t>
      </w:r>
    </w:p>
    <w:p w:rsidR="00D40C3A" w:rsidRPr="00145C45" w:rsidRDefault="00D40C3A" w:rsidP="00D40C3A">
      <w:pPr>
        <w:spacing w:line="360" w:lineRule="auto"/>
        <w:ind w:firstLine="720"/>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Institution of affiliation</w:t>
      </w: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145C45" w:rsidRPr="00145C45" w:rsidRDefault="00145C45" w:rsidP="00145C45">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lastRenderedPageBreak/>
        <w:t xml:space="preserve">Most of the businesses with the Environmental Management Systems (EMS)possess registered quality management systems. The double functions performed by the EMS are integrated to a level that is more typical than when the systems are established separately. The managers in the quality assurance managers understand the ISO </w:t>
      </w:r>
      <w:r w:rsidRPr="00145C45">
        <w:rPr>
          <w:rFonts w:ascii="Times New Roman" w:hAnsi="Times New Roman" w:cs="Times New Roman"/>
          <w:color w:val="000000"/>
          <w:sz w:val="24"/>
          <w:szCs w:val="24"/>
        </w:rPr>
        <w:t>14001 but in most instances, they become confused on the references to the regulatory compliance. The limited exposure to the regulatory environments leads to the specialists asking questions on the roles played by the ISO 14001 in ensuring that there is compliance with the regulations</w:t>
      </w:r>
    </w:p>
    <w:p w:rsidR="005150BB" w:rsidRPr="00145C45" w:rsidRDefault="00145C45" w:rsidP="00145C45">
      <w:pPr>
        <w:spacing w:line="360" w:lineRule="auto"/>
        <w:jc w:val="both"/>
        <w:rPr>
          <w:rFonts w:ascii="Times New Roman" w:hAnsi="Times New Roman" w:cs="Times New Roman"/>
          <w:color w:val="000000" w:themeColor="text1"/>
          <w:sz w:val="24"/>
          <w:szCs w:val="24"/>
        </w:rPr>
      </w:pPr>
      <w:r w:rsidRPr="00145C45">
        <w:rPr>
          <w:rFonts w:ascii="Times New Roman" w:hAnsi="Times New Roman" w:cs="Times New Roman"/>
          <w:color w:val="000000"/>
          <w:sz w:val="24"/>
          <w:szCs w:val="24"/>
        </w:rPr>
        <w:tab/>
      </w:r>
      <w:r w:rsidR="005150BB" w:rsidRPr="00145C45">
        <w:rPr>
          <w:rFonts w:ascii="Times New Roman" w:hAnsi="Times New Roman" w:cs="Times New Roman"/>
          <w:color w:val="000000" w:themeColor="text1"/>
          <w:sz w:val="24"/>
          <w:szCs w:val="24"/>
        </w:rPr>
        <w:t xml:space="preserve">Most businesses that do accomplish favored point of view over their rivals have important, convincing segments to ultimate achievement. The real pointers influence the speculators and partners confirmation to remain in the business or have the resources put into the market to strong execution (Boiral, Guillaumie, Heras‐Saizarbitoria &amp; Tayo Tene, 2017). In the later days, most of the financial institutions and marketers are by all means not the only wellspring of focused stance that is favored.  The </w:t>
      </w:r>
      <w:r w:rsidR="00B835EA">
        <w:rPr>
          <w:rFonts w:ascii="Times New Roman" w:hAnsi="Times New Roman" w:cs="Times New Roman"/>
          <w:color w:val="000000" w:themeColor="text1"/>
          <w:sz w:val="24"/>
          <w:szCs w:val="24"/>
        </w:rPr>
        <w:t>impacts from the biological concerns</w:t>
      </w:r>
      <w:r w:rsidR="005150BB" w:rsidRPr="00145C45">
        <w:rPr>
          <w:rFonts w:ascii="Times New Roman" w:hAnsi="Times New Roman" w:cs="Times New Roman"/>
          <w:color w:val="000000" w:themeColor="text1"/>
          <w:sz w:val="24"/>
          <w:szCs w:val="24"/>
        </w:rPr>
        <w:t xml:space="preserve"> </w:t>
      </w:r>
      <w:r w:rsidR="00B835EA">
        <w:rPr>
          <w:rFonts w:ascii="Times New Roman" w:hAnsi="Times New Roman" w:cs="Times New Roman"/>
          <w:color w:val="000000" w:themeColor="text1"/>
          <w:sz w:val="24"/>
          <w:szCs w:val="24"/>
        </w:rPr>
        <w:t xml:space="preserve">and community </w:t>
      </w:r>
      <w:r w:rsidR="00B835EA" w:rsidRPr="00145C45">
        <w:rPr>
          <w:rFonts w:ascii="Times New Roman" w:hAnsi="Times New Roman" w:cs="Times New Roman"/>
          <w:color w:val="000000" w:themeColor="text1"/>
          <w:sz w:val="24"/>
          <w:szCs w:val="24"/>
        </w:rPr>
        <w:t>concerns</w:t>
      </w:r>
      <w:r w:rsidR="005150BB" w:rsidRPr="00145C45">
        <w:rPr>
          <w:rFonts w:ascii="Times New Roman" w:hAnsi="Times New Roman" w:cs="Times New Roman"/>
          <w:color w:val="000000" w:themeColor="text1"/>
          <w:sz w:val="24"/>
          <w:szCs w:val="24"/>
        </w:rPr>
        <w:t xml:space="preserve"> have an expected basic part in handling the reasonable procedures as well as complementing on the corporate social responsibility. The </w:t>
      </w:r>
      <w:r w:rsidR="004D4D97" w:rsidRPr="00145C45">
        <w:rPr>
          <w:rFonts w:ascii="Times New Roman" w:hAnsi="Times New Roman" w:cs="Times New Roman"/>
          <w:color w:val="000000" w:themeColor="text1"/>
          <w:sz w:val="24"/>
          <w:szCs w:val="24"/>
        </w:rPr>
        <w:t xml:space="preserve">ISO 14001 and AA1000 </w:t>
      </w:r>
      <w:r w:rsidR="00201ACE">
        <w:rPr>
          <w:rFonts w:ascii="Times New Roman" w:hAnsi="Times New Roman" w:cs="Times New Roman"/>
          <w:color w:val="000000" w:themeColor="text1"/>
          <w:sz w:val="24"/>
          <w:szCs w:val="24"/>
        </w:rPr>
        <w:t>measures</w:t>
      </w:r>
      <w:r w:rsidR="005150BB" w:rsidRPr="00145C45">
        <w:rPr>
          <w:rFonts w:ascii="Times New Roman" w:hAnsi="Times New Roman" w:cs="Times New Roman"/>
          <w:color w:val="000000" w:themeColor="text1"/>
          <w:sz w:val="24"/>
          <w:szCs w:val="24"/>
        </w:rPr>
        <w:t xml:space="preserve"> proposed to help in implementing the outlined strategies. The paper also analyses the insights and insights of the financial specialists’ procedures in dealing with business in different states. </w:t>
      </w:r>
    </w:p>
    <w:p w:rsidR="005150BB"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guidelines by ISO 14001 are used for the companies that aim to upgrade their regular systems. The directions show the subjective measures that are required for corporate sustainability. Any practically normal company is expected to provide the necessities that are needed to facilitate the control. In the case of ISO 14001, the utilization depends on the technique used by the company in the affiliation environment as well as the nature of the firm’s operations (Martí-Ballester &amp; Simon, 2017).  It may also depend on the area of operating controls and conditions. The directions given by AA1000 are enhanced with the social standards of which they stipulate the quality of assessing, accounting and evaluation. The accounting standards help the company to recognize partners, unveils their goals and alter the corporate conditions to the wishes. The controls have basic and immense impacts on the partners as wells as financial specialists on the organizations. The standards check on the partners by limiting and redirecting the perils that would come then rise over the organization’s operations and practices. The world has also become dynamic thereby ending up being perceptive. The individuals’ minds and deeds are influenced by the adherence to </w:t>
      </w:r>
      <w:r w:rsidRPr="00145C45">
        <w:rPr>
          <w:rFonts w:ascii="Times New Roman" w:hAnsi="Times New Roman" w:cs="Times New Roman"/>
          <w:color w:val="000000" w:themeColor="text1"/>
          <w:sz w:val="24"/>
          <w:szCs w:val="24"/>
        </w:rPr>
        <w:lastRenderedPageBreak/>
        <w:t xml:space="preserve">the organization's policies and standards (Ali &amp; Al‐Aali, 2012). The ISO 14001, therefore, protects the organizations’ partners as well as the financial accountants from open criticism. It also protects them from expulsion and negativity that would end up being destructive to the business. The AA1000 analysis is important in envisioning the whole of the execution deal to the company thereby making it important through influencing the investors’ decisions towards the business. </w:t>
      </w:r>
    </w:p>
    <w:p w:rsidR="005150BB"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The membership and principle benefits given by the AA1000 and ISO 14001 gives access to fortunate learning progress through norms and productions which include access to more than 1800 industry nourishments and 1000 farming evaluations (Martí-Ballester &amp; Simon, 2017). The preparation by the individuals attempts to meet the AA1000 and ISO 14001 directions which align them with the principles and disclose to them how they need to review and actualize the independent accreditation. It also highlights the measures which demonstrate to them that their consistent partners are all around taking of all that is dealt with. It also highlights the reviews of the information in the production network device (BSI) as well as securing and enhancing the providers’ execution within the inventory network administration</w:t>
      </w:r>
      <w:r w:rsidR="00190A42">
        <w:rPr>
          <w:rFonts w:ascii="Times New Roman" w:hAnsi="Times New Roman" w:cs="Times New Roman"/>
          <w:color w:val="000000" w:themeColor="text1"/>
          <w:sz w:val="24"/>
          <w:szCs w:val="24"/>
        </w:rPr>
        <w:t xml:space="preserve"> </w:t>
      </w:r>
      <w:r w:rsidR="00190A42" w:rsidRPr="00145C45">
        <w:rPr>
          <w:rFonts w:ascii="Times New Roman" w:hAnsi="Times New Roman" w:cs="Times New Roman"/>
          <w:color w:val="000000" w:themeColor="text1"/>
          <w:sz w:val="24"/>
          <w:szCs w:val="24"/>
        </w:rPr>
        <w:t>(Boiral, Guillaumie, Heras‐S</w:t>
      </w:r>
      <w:r w:rsidR="004D4D97">
        <w:rPr>
          <w:rFonts w:ascii="Times New Roman" w:hAnsi="Times New Roman" w:cs="Times New Roman"/>
          <w:color w:val="000000" w:themeColor="text1"/>
          <w:sz w:val="24"/>
          <w:szCs w:val="24"/>
        </w:rPr>
        <w:t>aizarbitoria &amp; Tayo Tene, 2017)</w:t>
      </w:r>
      <w:r w:rsidRPr="00145C45">
        <w:rPr>
          <w:rFonts w:ascii="Times New Roman" w:hAnsi="Times New Roman" w:cs="Times New Roman"/>
          <w:color w:val="000000" w:themeColor="text1"/>
          <w:sz w:val="24"/>
          <w:szCs w:val="24"/>
        </w:rPr>
        <w:t xml:space="preserve">. The report also guarantees and improves the inventory network administration handled by the administration thereby ensuring </w:t>
      </w:r>
      <w:r w:rsidR="00190A42">
        <w:rPr>
          <w:rFonts w:ascii="Times New Roman" w:hAnsi="Times New Roman" w:cs="Times New Roman"/>
          <w:color w:val="000000" w:themeColor="text1"/>
          <w:sz w:val="24"/>
          <w:szCs w:val="24"/>
        </w:rPr>
        <w:t>a long term gain to the company.</w:t>
      </w:r>
    </w:p>
    <w:p w:rsidR="005150BB"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software for </w:t>
      </w:r>
      <w:r w:rsidR="004D4D97">
        <w:rPr>
          <w:rFonts w:ascii="Times New Roman" w:hAnsi="Times New Roman" w:cs="Times New Roman"/>
          <w:color w:val="000000" w:themeColor="text1"/>
          <w:sz w:val="24"/>
          <w:szCs w:val="24"/>
        </w:rPr>
        <w:t>improving the firm</w:t>
      </w:r>
      <w:r w:rsidRPr="00145C45">
        <w:rPr>
          <w:rFonts w:ascii="Times New Roman" w:hAnsi="Times New Roman" w:cs="Times New Roman"/>
          <w:color w:val="000000" w:themeColor="text1"/>
          <w:sz w:val="24"/>
          <w:szCs w:val="24"/>
        </w:rPr>
        <w:t xml:space="preserve"> is </w:t>
      </w:r>
      <w:r w:rsidR="004D4D97">
        <w:rPr>
          <w:rFonts w:ascii="Times New Roman" w:hAnsi="Times New Roman" w:cs="Times New Roman"/>
          <w:color w:val="000000" w:themeColor="text1"/>
          <w:sz w:val="24"/>
          <w:szCs w:val="24"/>
        </w:rPr>
        <w:t>established</w:t>
      </w:r>
      <w:r w:rsidRPr="00145C45">
        <w:rPr>
          <w:rFonts w:ascii="Times New Roman" w:hAnsi="Times New Roman" w:cs="Times New Roman"/>
          <w:color w:val="000000" w:themeColor="text1"/>
          <w:sz w:val="24"/>
          <w:szCs w:val="24"/>
        </w:rPr>
        <w:t xml:space="preserve"> by entropy thereby helping the partners to deal adequately with their frameworks and procedures that assist in driving the execution procedure (Yasuda, 2016). The execution procedures are pushed through the use of their time and involving imaginative advancement within the field, group leaders and other partners to coordinate in recognizing and sharing of the fundamental principles which address the organization worries. The best practices are supported through the usage of the right information which guides your organization and can be accomplished while adopting the right management framework through confirmation, affirmation, and preparation.</w:t>
      </w:r>
    </w:p>
    <w:p w:rsidR="005150BB"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For the organization to build its vision, making reasonable progress will depend on how it performs its daily operations and how it handles the competition it faces inside and outside the company. The aggressive nature of the company and its capacity to survive is controlled depending on efficiency in its operations (Ali &amp; Al‐Aali, 2012). The efficiency measures are altogether formed by ISO 14001 and AA1000 guidelines which provide directions on how the company will convey its deeds either ecologically, socially or monetarily. </w:t>
      </w:r>
    </w:p>
    <w:p w:rsidR="005150BB"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lastRenderedPageBreak/>
        <w:t xml:space="preserve">The manageable environmental measures, especially in Saudi Arabia, are necessary since the country extracts oils which may affect the environment negatively. The situation is demonstrated by the climate change which reads at 6% of the GCC states which is a very extreme level. The certified organizations like ISO Riyadh and Lakshy which are in Saudi Arabia provide an exchange and detailed information on the ISO 14001 controls. The associations are essential since they help Sabic to carry out the full natural assurance and conservation strategies that are vital to the community (Schuler, Rasche, Etzion &amp; Newton, 2017). The directions and controls help in reducing the regular tainting through their organizations which eventually help in expanding the common fundamental implications for the financial analysts.  </w:t>
      </w:r>
    </w:p>
    <w:p w:rsidR="005150BB"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 xml:space="preserve">The Bay Arab Nations are also known for their compelling management methods that set up in a bona fide Islamic and social feelings. Through such kind of management, the organizations in Saudi Arabia aimed at achieving definite executions based on the demonstrated impressions of reasonable measures and corporate social responsibility.  The AA1000 measures are therefore necessary in managing the commitments that are required to improve the trust for the financial accountants, auditors, and partners as well as the organization workers. </w:t>
      </w:r>
    </w:p>
    <w:p w:rsidR="007905E7" w:rsidRPr="00145C45" w:rsidRDefault="005150BB" w:rsidP="005150BB">
      <w:pPr>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One can, therefore, say authoritatively that the measures are essential in ensuring future orientation of the company. The major concerns of the rules are the ability in enhancing the movements’ manageability which is fundamental in forecasting decisions and capturing the trust of the partners</w:t>
      </w:r>
      <w:r w:rsidR="007905E7" w:rsidRPr="00145C45">
        <w:rPr>
          <w:rFonts w:ascii="Times New Roman" w:hAnsi="Times New Roman" w:cs="Times New Roman"/>
          <w:color w:val="000000" w:themeColor="text1"/>
          <w:sz w:val="24"/>
          <w:szCs w:val="24"/>
        </w:rPr>
        <w:t xml:space="preserve">. </w:t>
      </w:r>
    </w:p>
    <w:p w:rsidR="009B405F" w:rsidRPr="00145C45" w:rsidRDefault="00D40C3A" w:rsidP="00D40C3A">
      <w:pPr>
        <w:tabs>
          <w:tab w:val="left" w:pos="2835"/>
        </w:tabs>
        <w:spacing w:line="360" w:lineRule="auto"/>
        <w:ind w:firstLine="720"/>
        <w:jc w:val="both"/>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ab/>
      </w: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9B405F" w:rsidRPr="00145C45" w:rsidRDefault="009B405F" w:rsidP="004C7583">
      <w:pPr>
        <w:spacing w:line="360" w:lineRule="auto"/>
        <w:ind w:firstLine="720"/>
        <w:jc w:val="both"/>
        <w:rPr>
          <w:rFonts w:ascii="Times New Roman" w:hAnsi="Times New Roman" w:cs="Times New Roman"/>
          <w:color w:val="000000" w:themeColor="text1"/>
          <w:sz w:val="24"/>
          <w:szCs w:val="24"/>
        </w:rPr>
      </w:pPr>
    </w:p>
    <w:p w:rsidR="0027088B" w:rsidRPr="00145C45" w:rsidRDefault="0027088B" w:rsidP="0027088B">
      <w:pPr>
        <w:spacing w:line="480" w:lineRule="auto"/>
        <w:jc w:val="both"/>
        <w:rPr>
          <w:rFonts w:ascii="Times New Roman" w:hAnsi="Times New Roman" w:cs="Times New Roman"/>
          <w:color w:val="000000" w:themeColor="text1"/>
          <w:sz w:val="24"/>
          <w:szCs w:val="24"/>
        </w:rPr>
      </w:pPr>
    </w:p>
    <w:p w:rsidR="0027088B" w:rsidRPr="00145C45" w:rsidRDefault="0027088B" w:rsidP="0027088B">
      <w:pPr>
        <w:spacing w:line="480" w:lineRule="auto"/>
        <w:jc w:val="both"/>
        <w:rPr>
          <w:rFonts w:ascii="Times New Roman" w:hAnsi="Times New Roman" w:cs="Times New Roman"/>
          <w:color w:val="000000" w:themeColor="text1"/>
          <w:sz w:val="24"/>
          <w:szCs w:val="24"/>
        </w:rPr>
      </w:pPr>
    </w:p>
    <w:p w:rsidR="0027088B" w:rsidRPr="00145C45" w:rsidRDefault="0027088B" w:rsidP="0027088B">
      <w:pPr>
        <w:spacing w:line="480" w:lineRule="auto"/>
        <w:jc w:val="both"/>
        <w:rPr>
          <w:rFonts w:ascii="Times New Roman" w:hAnsi="Times New Roman" w:cs="Times New Roman"/>
          <w:color w:val="000000" w:themeColor="text1"/>
          <w:sz w:val="24"/>
          <w:szCs w:val="24"/>
        </w:rPr>
      </w:pPr>
    </w:p>
    <w:p w:rsidR="009E61F8" w:rsidRPr="00145C45" w:rsidRDefault="009E61F8" w:rsidP="0027088B">
      <w:pPr>
        <w:spacing w:line="480" w:lineRule="auto"/>
        <w:jc w:val="both"/>
        <w:rPr>
          <w:rFonts w:ascii="Times New Roman" w:hAnsi="Times New Roman" w:cs="Times New Roman"/>
          <w:color w:val="000000" w:themeColor="text1"/>
          <w:sz w:val="24"/>
          <w:szCs w:val="24"/>
        </w:rPr>
      </w:pPr>
    </w:p>
    <w:p w:rsidR="005150BB" w:rsidRPr="00145C45" w:rsidRDefault="005150BB" w:rsidP="0027088B">
      <w:pPr>
        <w:spacing w:line="480" w:lineRule="auto"/>
        <w:jc w:val="both"/>
        <w:rPr>
          <w:rFonts w:ascii="Times New Roman" w:hAnsi="Times New Roman" w:cs="Times New Roman"/>
          <w:color w:val="000000" w:themeColor="text1"/>
          <w:sz w:val="24"/>
          <w:szCs w:val="24"/>
        </w:rPr>
      </w:pPr>
    </w:p>
    <w:p w:rsidR="0027088B" w:rsidRPr="00145C45" w:rsidRDefault="0027088B" w:rsidP="00912BEC">
      <w:pPr>
        <w:spacing w:line="480" w:lineRule="auto"/>
        <w:jc w:val="center"/>
        <w:rPr>
          <w:rFonts w:ascii="Times New Roman" w:hAnsi="Times New Roman" w:cs="Times New Roman"/>
          <w:color w:val="000000" w:themeColor="text1"/>
          <w:sz w:val="24"/>
          <w:szCs w:val="24"/>
        </w:rPr>
      </w:pPr>
      <w:r w:rsidRPr="00145C45">
        <w:rPr>
          <w:rFonts w:ascii="Times New Roman" w:hAnsi="Times New Roman" w:cs="Times New Roman"/>
          <w:color w:val="000000" w:themeColor="text1"/>
          <w:sz w:val="24"/>
          <w:szCs w:val="24"/>
        </w:rPr>
        <w:t>References</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Ali, A. J., &amp; Al‐Aali, A. (2012). Corporate social responsibility in Saudi Arabia. </w:t>
      </w:r>
      <w:r w:rsidRPr="00145C45">
        <w:rPr>
          <w:rFonts w:ascii="Times New Roman" w:eastAsia="Times New Roman" w:hAnsi="Times New Roman" w:cs="Times New Roman"/>
          <w:i/>
          <w:iCs/>
          <w:color w:val="000000" w:themeColor="text1"/>
          <w:sz w:val="24"/>
          <w:szCs w:val="24"/>
        </w:rPr>
        <w:t xml:space="preserve">Middle East </w:t>
      </w:r>
      <w:r w:rsidRPr="00145C45">
        <w:rPr>
          <w:rFonts w:ascii="Times New Roman" w:eastAsia="Times New Roman" w:hAnsi="Times New Roman" w:cs="Times New Roman"/>
          <w:i/>
          <w:iCs/>
          <w:color w:val="000000" w:themeColor="text1"/>
          <w:sz w:val="24"/>
          <w:szCs w:val="24"/>
        </w:rPr>
        <w:tab/>
        <w:t>Policy</w:t>
      </w:r>
      <w:r w:rsidRPr="00145C45">
        <w:rPr>
          <w:rFonts w:ascii="Times New Roman" w:eastAsia="Times New Roman" w:hAnsi="Times New Roman" w:cs="Times New Roman"/>
          <w:color w:val="000000" w:themeColor="text1"/>
          <w:sz w:val="24"/>
          <w:szCs w:val="24"/>
        </w:rPr>
        <w:t xml:space="preserve">, </w:t>
      </w:r>
      <w:r w:rsidRPr="00145C45">
        <w:rPr>
          <w:rFonts w:ascii="Times New Roman" w:eastAsia="Times New Roman" w:hAnsi="Times New Roman" w:cs="Times New Roman"/>
          <w:i/>
          <w:iCs/>
          <w:color w:val="000000" w:themeColor="text1"/>
          <w:sz w:val="24"/>
          <w:szCs w:val="24"/>
        </w:rPr>
        <w:t>19</w:t>
      </w:r>
      <w:r w:rsidRPr="00145C45">
        <w:rPr>
          <w:rFonts w:ascii="Times New Roman" w:eastAsia="Times New Roman" w:hAnsi="Times New Roman" w:cs="Times New Roman"/>
          <w:color w:val="000000" w:themeColor="text1"/>
          <w:sz w:val="24"/>
          <w:szCs w:val="24"/>
        </w:rPr>
        <w:t>(4), 40-53.</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Boiral, O., Guillaumie, L., Heras‐Saizarbitoria, I., &amp; Tayo Tene, C. V. (2017). Adoption and outcomes of ISO 14001: a systematic review. </w:t>
      </w:r>
      <w:r w:rsidRPr="00145C45">
        <w:rPr>
          <w:rFonts w:ascii="Times New Roman" w:eastAsia="Times New Roman" w:hAnsi="Times New Roman" w:cs="Times New Roman"/>
          <w:i/>
          <w:iCs/>
          <w:color w:val="000000" w:themeColor="text1"/>
          <w:sz w:val="24"/>
          <w:szCs w:val="24"/>
        </w:rPr>
        <w:t>International Journal of Management Reviews</w:t>
      </w:r>
      <w:r w:rsidRPr="00145C45">
        <w:rPr>
          <w:rFonts w:ascii="Times New Roman" w:eastAsia="Times New Roman" w:hAnsi="Times New Roman" w:cs="Times New Roman"/>
          <w:color w:val="000000" w:themeColor="text1"/>
          <w:sz w:val="24"/>
          <w:szCs w:val="24"/>
        </w:rPr>
        <w:t>.</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Martí-Ballester, C. P., &amp; Simon, A. (2017). Union is strength: the integration of ISO 9001 and ISO 14001 contributes to improve the firms’ financial performance. </w:t>
      </w:r>
      <w:r w:rsidRPr="00145C45">
        <w:rPr>
          <w:rFonts w:ascii="Times New Roman" w:eastAsia="Times New Roman" w:hAnsi="Times New Roman" w:cs="Times New Roman"/>
          <w:i/>
          <w:iCs/>
          <w:color w:val="000000" w:themeColor="text1"/>
          <w:sz w:val="24"/>
          <w:szCs w:val="24"/>
        </w:rPr>
        <w:t>Management Decision</w:t>
      </w:r>
      <w:r w:rsidRPr="00145C45">
        <w:rPr>
          <w:rFonts w:ascii="Times New Roman" w:eastAsia="Times New Roman" w:hAnsi="Times New Roman" w:cs="Times New Roman"/>
          <w:color w:val="000000" w:themeColor="text1"/>
          <w:sz w:val="24"/>
          <w:szCs w:val="24"/>
        </w:rPr>
        <w:t xml:space="preserve">, </w:t>
      </w:r>
      <w:r w:rsidRPr="00145C45">
        <w:rPr>
          <w:rFonts w:ascii="Times New Roman" w:eastAsia="Times New Roman" w:hAnsi="Times New Roman" w:cs="Times New Roman"/>
          <w:i/>
          <w:iCs/>
          <w:color w:val="000000" w:themeColor="text1"/>
          <w:sz w:val="24"/>
          <w:szCs w:val="24"/>
        </w:rPr>
        <w:t>55</w:t>
      </w:r>
      <w:r w:rsidRPr="00145C45">
        <w:rPr>
          <w:rFonts w:ascii="Times New Roman" w:eastAsia="Times New Roman" w:hAnsi="Times New Roman" w:cs="Times New Roman"/>
          <w:color w:val="000000" w:themeColor="text1"/>
          <w:sz w:val="24"/>
          <w:szCs w:val="24"/>
        </w:rPr>
        <w:t>(1).</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Schuler, D., Rasche, A., Etzion, D., &amp; Newton, L. (2017). Guest Editors’ Introduction: Corporate Sustainability Management and Environmental Ethics. </w:t>
      </w:r>
      <w:r w:rsidRPr="00145C45">
        <w:rPr>
          <w:rFonts w:ascii="Times New Roman" w:eastAsia="Times New Roman" w:hAnsi="Times New Roman" w:cs="Times New Roman"/>
          <w:i/>
          <w:iCs/>
          <w:color w:val="000000" w:themeColor="text1"/>
          <w:sz w:val="24"/>
          <w:szCs w:val="24"/>
        </w:rPr>
        <w:t>Business Ethics Quarterly</w:t>
      </w:r>
      <w:r w:rsidRPr="00145C45">
        <w:rPr>
          <w:rFonts w:ascii="Times New Roman" w:eastAsia="Times New Roman" w:hAnsi="Times New Roman" w:cs="Times New Roman"/>
          <w:color w:val="000000" w:themeColor="text1"/>
          <w:sz w:val="24"/>
          <w:szCs w:val="24"/>
        </w:rPr>
        <w:t xml:space="preserve">, </w:t>
      </w:r>
      <w:r w:rsidRPr="00145C45">
        <w:rPr>
          <w:rFonts w:ascii="Times New Roman" w:eastAsia="Times New Roman" w:hAnsi="Times New Roman" w:cs="Times New Roman"/>
          <w:i/>
          <w:iCs/>
          <w:color w:val="000000" w:themeColor="text1"/>
          <w:sz w:val="24"/>
          <w:szCs w:val="24"/>
        </w:rPr>
        <w:t>27</w:t>
      </w:r>
      <w:r w:rsidRPr="00145C45">
        <w:rPr>
          <w:rFonts w:ascii="Times New Roman" w:eastAsia="Times New Roman" w:hAnsi="Times New Roman" w:cs="Times New Roman"/>
          <w:color w:val="000000" w:themeColor="text1"/>
          <w:sz w:val="24"/>
          <w:szCs w:val="24"/>
        </w:rPr>
        <w:t>(2), 213-237.</w:t>
      </w:r>
    </w:p>
    <w:p w:rsidR="009E61F8" w:rsidRPr="00145C45" w:rsidRDefault="009E61F8" w:rsidP="009E61F8">
      <w:pPr>
        <w:spacing w:after="0" w:line="360" w:lineRule="auto"/>
        <w:ind w:left="720" w:hanging="720"/>
        <w:contextualSpacing/>
        <w:rPr>
          <w:rFonts w:ascii="Times New Roman" w:eastAsia="Times New Roman" w:hAnsi="Times New Roman" w:cs="Times New Roman"/>
          <w:color w:val="000000" w:themeColor="text1"/>
          <w:sz w:val="24"/>
          <w:szCs w:val="24"/>
        </w:rPr>
      </w:pPr>
      <w:r w:rsidRPr="00145C45">
        <w:rPr>
          <w:rFonts w:ascii="Times New Roman" w:eastAsia="Times New Roman" w:hAnsi="Times New Roman" w:cs="Times New Roman"/>
          <w:color w:val="000000" w:themeColor="text1"/>
          <w:sz w:val="24"/>
          <w:szCs w:val="24"/>
        </w:rPr>
        <w:t xml:space="preserve">Yasuda, J. (2016). 35. Regulatory governance. </w:t>
      </w:r>
      <w:r w:rsidRPr="00145C45">
        <w:rPr>
          <w:rFonts w:ascii="Times New Roman" w:eastAsia="Times New Roman" w:hAnsi="Times New Roman" w:cs="Times New Roman"/>
          <w:i/>
          <w:iCs/>
          <w:color w:val="000000" w:themeColor="text1"/>
          <w:sz w:val="24"/>
          <w:szCs w:val="24"/>
        </w:rPr>
        <w:t>Handbook on Theories of Governance</w:t>
      </w:r>
      <w:r w:rsidRPr="00145C45">
        <w:rPr>
          <w:rFonts w:ascii="Times New Roman" w:eastAsia="Times New Roman" w:hAnsi="Times New Roman" w:cs="Times New Roman"/>
          <w:color w:val="000000" w:themeColor="text1"/>
          <w:sz w:val="24"/>
          <w:szCs w:val="24"/>
        </w:rPr>
        <w:t>, 428.</w:t>
      </w:r>
    </w:p>
    <w:p w:rsidR="005150BB" w:rsidRPr="00145C45" w:rsidRDefault="005150BB">
      <w:pPr>
        <w:spacing w:after="0" w:line="360" w:lineRule="auto"/>
        <w:ind w:left="720" w:hanging="720"/>
        <w:contextualSpacing/>
        <w:rPr>
          <w:rFonts w:ascii="Times New Roman" w:eastAsia="Times New Roman" w:hAnsi="Times New Roman" w:cs="Times New Roman"/>
          <w:color w:val="000000" w:themeColor="text1"/>
          <w:sz w:val="24"/>
          <w:szCs w:val="24"/>
        </w:rPr>
      </w:pPr>
    </w:p>
    <w:sectPr w:rsidR="005150BB" w:rsidRPr="00145C45" w:rsidSect="009B40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EFD" w:rsidRDefault="00ED3EFD" w:rsidP="009B405F">
      <w:pPr>
        <w:spacing w:after="0" w:line="240" w:lineRule="auto"/>
      </w:pPr>
      <w:r>
        <w:separator/>
      </w:r>
    </w:p>
  </w:endnote>
  <w:endnote w:type="continuationSeparator" w:id="0">
    <w:p w:rsidR="00ED3EFD" w:rsidRDefault="00ED3EFD" w:rsidP="009B4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EFD" w:rsidRDefault="00ED3EFD" w:rsidP="009B405F">
      <w:pPr>
        <w:spacing w:after="0" w:line="240" w:lineRule="auto"/>
      </w:pPr>
      <w:r>
        <w:separator/>
      </w:r>
    </w:p>
  </w:footnote>
  <w:footnote w:type="continuationSeparator" w:id="0">
    <w:p w:rsidR="00ED3EFD" w:rsidRDefault="00ED3EFD" w:rsidP="009B40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849672"/>
      <w:docPartObj>
        <w:docPartGallery w:val="Page Numbers (Top of Page)"/>
        <w:docPartUnique/>
      </w:docPartObj>
    </w:sdtPr>
    <w:sdtEndPr/>
    <w:sdtContent>
      <w:p w:rsidR="007905E7" w:rsidRDefault="005150BB">
        <w:pPr>
          <w:pStyle w:val="Header"/>
          <w:jc w:val="right"/>
        </w:pPr>
        <w:r>
          <w:rPr>
            <w:rFonts w:ascii="Times New Roman" w:hAnsi="Times New Roman" w:cs="Times New Roman"/>
            <w:sz w:val="24"/>
            <w:szCs w:val="24"/>
          </w:rPr>
          <w:t>The ISO 14001 AND</w:t>
        </w:r>
        <w:r w:rsidR="007905E7" w:rsidRPr="0027088B">
          <w:rPr>
            <w:rFonts w:ascii="Times New Roman" w:hAnsi="Times New Roman" w:cs="Times New Roman"/>
            <w:sz w:val="24"/>
            <w:szCs w:val="24"/>
          </w:rPr>
          <w:t xml:space="preserve"> AA1000</w:t>
        </w:r>
        <w:r w:rsidR="007905E7">
          <w:rPr>
            <w:rFonts w:ascii="Times New Roman" w:hAnsi="Times New Roman" w:cs="Times New Roman"/>
            <w:sz w:val="24"/>
            <w:szCs w:val="24"/>
          </w:rPr>
          <w:tab/>
        </w:r>
        <w:r w:rsidR="007905E7">
          <w:rPr>
            <w:rFonts w:ascii="Times New Roman" w:hAnsi="Times New Roman" w:cs="Times New Roman"/>
            <w:sz w:val="24"/>
            <w:szCs w:val="24"/>
          </w:rPr>
          <w:tab/>
        </w:r>
        <w:r w:rsidR="007905E7">
          <w:rPr>
            <w:noProof/>
          </w:rPr>
          <w:fldChar w:fldCharType="begin"/>
        </w:r>
        <w:r w:rsidR="007905E7">
          <w:rPr>
            <w:noProof/>
          </w:rPr>
          <w:instrText xml:space="preserve"> PAGE   \* MERGEFORMAT </w:instrText>
        </w:r>
        <w:r w:rsidR="007905E7">
          <w:rPr>
            <w:noProof/>
          </w:rPr>
          <w:fldChar w:fldCharType="separate"/>
        </w:r>
        <w:r w:rsidR="00BB4A70">
          <w:rPr>
            <w:noProof/>
          </w:rPr>
          <w:t>5</w:t>
        </w:r>
        <w:r w:rsidR="007905E7">
          <w:rPr>
            <w:noProof/>
          </w:rPr>
          <w:fldChar w:fldCharType="end"/>
        </w:r>
      </w:p>
    </w:sdtContent>
  </w:sdt>
  <w:p w:rsidR="007905E7" w:rsidRDefault="005150BB" w:rsidP="005150BB">
    <w:pPr>
      <w:pStyle w:val="Header"/>
      <w:tabs>
        <w:tab w:val="clear" w:pos="4680"/>
        <w:tab w:val="clear" w:pos="9360"/>
        <w:tab w:val="left" w:pos="2760"/>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5E7" w:rsidRDefault="007905E7">
    <w:pPr>
      <w:pStyle w:val="Header"/>
      <w:jc w:val="right"/>
    </w:pPr>
    <w:r w:rsidRPr="00D40C3A">
      <w:rPr>
        <w:rFonts w:ascii="Times New Roman" w:hAnsi="Times New Roman" w:cs="Times New Roman"/>
        <w:sz w:val="24"/>
        <w:szCs w:val="24"/>
      </w:rPr>
      <w:t>Running head: THE ISO 14001 AND AA1000</w:t>
    </w:r>
    <w:r>
      <w:rPr>
        <w:rFonts w:ascii="Times New Roman" w:hAnsi="Times New Roman" w:cs="Times New Roman"/>
        <w:sz w:val="24"/>
        <w:szCs w:val="24"/>
      </w:rPr>
      <w:tab/>
    </w:r>
    <w:sdt>
      <w:sdtPr>
        <w:id w:val="134849673"/>
        <w:docPartObj>
          <w:docPartGallery w:val="Page Numbers (Top of Page)"/>
          <w:docPartUnique/>
        </w:docPartObj>
      </w:sdtPr>
      <w:sdtEndPr/>
      <w:sdtContent>
        <w:r w:rsidR="005150BB">
          <w:tab/>
        </w:r>
        <w:r>
          <w:rPr>
            <w:noProof/>
          </w:rPr>
          <w:fldChar w:fldCharType="begin"/>
        </w:r>
        <w:r>
          <w:rPr>
            <w:noProof/>
          </w:rPr>
          <w:instrText xml:space="preserve"> PAGE   \* MERGEFORMAT </w:instrText>
        </w:r>
        <w:r>
          <w:rPr>
            <w:noProof/>
          </w:rPr>
          <w:fldChar w:fldCharType="separate"/>
        </w:r>
        <w:r w:rsidR="00BB4A70">
          <w:rPr>
            <w:noProof/>
          </w:rPr>
          <w:t>1</w:t>
        </w:r>
        <w:r>
          <w:rPr>
            <w:noProof/>
          </w:rPr>
          <w:fldChar w:fldCharType="end"/>
        </w:r>
      </w:sdtContent>
    </w:sdt>
  </w:p>
  <w:p w:rsidR="007905E7" w:rsidRDefault="007905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88B"/>
    <w:rsid w:val="001045E5"/>
    <w:rsid w:val="00145C45"/>
    <w:rsid w:val="00161B83"/>
    <w:rsid w:val="00190A42"/>
    <w:rsid w:val="00201ACE"/>
    <w:rsid w:val="00251D85"/>
    <w:rsid w:val="00257253"/>
    <w:rsid w:val="0027088B"/>
    <w:rsid w:val="002A0790"/>
    <w:rsid w:val="003A78B0"/>
    <w:rsid w:val="004C7583"/>
    <w:rsid w:val="004D4D97"/>
    <w:rsid w:val="005150BB"/>
    <w:rsid w:val="005C5B95"/>
    <w:rsid w:val="007905E7"/>
    <w:rsid w:val="007D38FA"/>
    <w:rsid w:val="008114D7"/>
    <w:rsid w:val="008867C3"/>
    <w:rsid w:val="00912BEC"/>
    <w:rsid w:val="00913A06"/>
    <w:rsid w:val="009B405F"/>
    <w:rsid w:val="009E61F8"/>
    <w:rsid w:val="00AB676B"/>
    <w:rsid w:val="00B835EA"/>
    <w:rsid w:val="00BB4A70"/>
    <w:rsid w:val="00C3747A"/>
    <w:rsid w:val="00D40C3A"/>
    <w:rsid w:val="00D75C4D"/>
    <w:rsid w:val="00DE149C"/>
    <w:rsid w:val="00EA36AE"/>
    <w:rsid w:val="00ED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AD45D-A174-4ED6-949C-48A79DDF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05F"/>
  </w:style>
  <w:style w:type="paragraph" w:styleId="Footer">
    <w:name w:val="footer"/>
    <w:basedOn w:val="Normal"/>
    <w:link w:val="FooterChar"/>
    <w:uiPriority w:val="99"/>
    <w:unhideWhenUsed/>
    <w:rsid w:val="009B4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05F"/>
  </w:style>
  <w:style w:type="paragraph" w:styleId="NormalWeb">
    <w:name w:val="Normal (Web)"/>
    <w:basedOn w:val="Normal"/>
    <w:uiPriority w:val="99"/>
    <w:semiHidden/>
    <w:unhideWhenUsed/>
    <w:rsid w:val="00145C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23268">
      <w:bodyDiv w:val="1"/>
      <w:marLeft w:val="0"/>
      <w:marRight w:val="0"/>
      <w:marTop w:val="0"/>
      <w:marBottom w:val="0"/>
      <w:divBdr>
        <w:top w:val="none" w:sz="0" w:space="0" w:color="auto"/>
        <w:left w:val="none" w:sz="0" w:space="0" w:color="auto"/>
        <w:bottom w:val="none" w:sz="0" w:space="0" w:color="auto"/>
        <w:right w:val="none" w:sz="0" w:space="0" w:color="auto"/>
      </w:divBdr>
      <w:divsChild>
        <w:div w:id="129327484">
          <w:marLeft w:val="0"/>
          <w:marRight w:val="0"/>
          <w:marTop w:val="0"/>
          <w:marBottom w:val="0"/>
          <w:divBdr>
            <w:top w:val="none" w:sz="0" w:space="0" w:color="auto"/>
            <w:left w:val="none" w:sz="0" w:space="0" w:color="auto"/>
            <w:bottom w:val="none" w:sz="0" w:space="0" w:color="auto"/>
            <w:right w:val="none" w:sz="0" w:space="0" w:color="auto"/>
          </w:divBdr>
        </w:div>
      </w:divsChild>
    </w:div>
    <w:div w:id="417559485">
      <w:bodyDiv w:val="1"/>
      <w:marLeft w:val="0"/>
      <w:marRight w:val="0"/>
      <w:marTop w:val="0"/>
      <w:marBottom w:val="0"/>
      <w:divBdr>
        <w:top w:val="none" w:sz="0" w:space="0" w:color="auto"/>
        <w:left w:val="none" w:sz="0" w:space="0" w:color="auto"/>
        <w:bottom w:val="none" w:sz="0" w:space="0" w:color="auto"/>
        <w:right w:val="none" w:sz="0" w:space="0" w:color="auto"/>
      </w:divBdr>
      <w:divsChild>
        <w:div w:id="427654483">
          <w:marLeft w:val="0"/>
          <w:marRight w:val="0"/>
          <w:marTop w:val="0"/>
          <w:marBottom w:val="0"/>
          <w:divBdr>
            <w:top w:val="none" w:sz="0" w:space="0" w:color="auto"/>
            <w:left w:val="none" w:sz="0" w:space="0" w:color="auto"/>
            <w:bottom w:val="none" w:sz="0" w:space="0" w:color="auto"/>
            <w:right w:val="none" w:sz="0" w:space="0" w:color="auto"/>
          </w:divBdr>
        </w:div>
      </w:divsChild>
    </w:div>
    <w:div w:id="1414468644">
      <w:bodyDiv w:val="1"/>
      <w:marLeft w:val="0"/>
      <w:marRight w:val="0"/>
      <w:marTop w:val="0"/>
      <w:marBottom w:val="0"/>
      <w:divBdr>
        <w:top w:val="none" w:sz="0" w:space="0" w:color="auto"/>
        <w:left w:val="none" w:sz="0" w:space="0" w:color="auto"/>
        <w:bottom w:val="none" w:sz="0" w:space="0" w:color="auto"/>
        <w:right w:val="none" w:sz="0" w:space="0" w:color="auto"/>
      </w:divBdr>
      <w:divsChild>
        <w:div w:id="548687142">
          <w:marLeft w:val="0"/>
          <w:marRight w:val="0"/>
          <w:marTop w:val="0"/>
          <w:marBottom w:val="0"/>
          <w:divBdr>
            <w:top w:val="none" w:sz="0" w:space="0" w:color="auto"/>
            <w:left w:val="none" w:sz="0" w:space="0" w:color="auto"/>
            <w:bottom w:val="none" w:sz="0" w:space="0" w:color="auto"/>
            <w:right w:val="none" w:sz="0" w:space="0" w:color="auto"/>
          </w:divBdr>
        </w:div>
      </w:divsChild>
    </w:div>
    <w:div w:id="1497575036">
      <w:bodyDiv w:val="1"/>
      <w:marLeft w:val="0"/>
      <w:marRight w:val="0"/>
      <w:marTop w:val="0"/>
      <w:marBottom w:val="0"/>
      <w:divBdr>
        <w:top w:val="none" w:sz="0" w:space="0" w:color="auto"/>
        <w:left w:val="none" w:sz="0" w:space="0" w:color="auto"/>
        <w:bottom w:val="none" w:sz="0" w:space="0" w:color="auto"/>
        <w:right w:val="none" w:sz="0" w:space="0" w:color="auto"/>
      </w:divBdr>
      <w:divsChild>
        <w:div w:id="1741319274">
          <w:marLeft w:val="0"/>
          <w:marRight w:val="0"/>
          <w:marTop w:val="0"/>
          <w:marBottom w:val="0"/>
          <w:divBdr>
            <w:top w:val="none" w:sz="0" w:space="0" w:color="auto"/>
            <w:left w:val="none" w:sz="0" w:space="0" w:color="auto"/>
            <w:bottom w:val="none" w:sz="0" w:space="0" w:color="auto"/>
            <w:right w:val="none" w:sz="0" w:space="0" w:color="auto"/>
          </w:divBdr>
        </w:div>
      </w:divsChild>
    </w:div>
    <w:div w:id="163232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2019-03-31T17:45:00Z</dcterms:created>
  <dcterms:modified xsi:type="dcterms:W3CDTF">2019-03-31T17:45:00Z</dcterms:modified>
</cp:coreProperties>
</file>