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7354" w:rsidRPr="00AF7F93" w:rsidRDefault="00C87354" w:rsidP="004274EB">
      <w:pPr>
        <w:spacing w:after="0" w:line="480" w:lineRule="auto"/>
        <w:rPr>
          <w:rFonts w:ascii="Times New Roman" w:eastAsia="Times New Roman" w:hAnsi="Times New Roman" w:cs="Times New Roman"/>
          <w:color w:val="000000" w:themeColor="text1"/>
          <w:sz w:val="24"/>
          <w:szCs w:val="24"/>
        </w:rPr>
      </w:pPr>
    </w:p>
    <w:p w:rsidR="00B51C17" w:rsidRPr="00AF7F93" w:rsidRDefault="00682F29" w:rsidP="004274EB">
      <w:pPr>
        <w:spacing w:after="0" w:line="480" w:lineRule="auto"/>
        <w:jc w:val="center"/>
        <w:rPr>
          <w:rFonts w:ascii="Times New Roman" w:eastAsia="Times New Roman" w:hAnsi="Times New Roman" w:cs="Times New Roman"/>
          <w:color w:val="000000" w:themeColor="text1"/>
          <w:sz w:val="24"/>
          <w:szCs w:val="24"/>
        </w:rPr>
      </w:pPr>
      <w:r w:rsidRPr="00AF7F93">
        <w:rPr>
          <w:rFonts w:ascii="Times New Roman" w:eastAsia="Times New Roman" w:hAnsi="Times New Roman" w:cs="Times New Roman"/>
          <w:color w:val="000000" w:themeColor="text1"/>
          <w:sz w:val="24"/>
          <w:szCs w:val="24"/>
        </w:rPr>
        <w:t>Identifying the Challenge</w:t>
      </w:r>
    </w:p>
    <w:p w:rsidR="00B51C17" w:rsidRPr="00AF7F93" w:rsidRDefault="00682F29" w:rsidP="00C87354">
      <w:pPr>
        <w:spacing w:after="0" w:line="480" w:lineRule="auto"/>
        <w:rPr>
          <w:rFonts w:ascii="Times New Roman" w:eastAsia="Times New Roman" w:hAnsi="Times New Roman" w:cs="Times New Roman"/>
          <w:b/>
          <w:color w:val="000000" w:themeColor="text1"/>
          <w:sz w:val="24"/>
          <w:szCs w:val="24"/>
        </w:rPr>
      </w:pPr>
      <w:r w:rsidRPr="00AF7F93">
        <w:rPr>
          <w:rFonts w:ascii="Times New Roman" w:eastAsia="Times New Roman" w:hAnsi="Times New Roman" w:cs="Times New Roman"/>
          <w:b/>
          <w:color w:val="000000" w:themeColor="text1"/>
          <w:sz w:val="24"/>
          <w:szCs w:val="24"/>
        </w:rPr>
        <w:t>Outline the context of the problem or challenge, including the history and any policy decisions that have contributed to the situation.</w:t>
      </w:r>
    </w:p>
    <w:p w:rsidR="00B51C17" w:rsidRPr="00AF7F93" w:rsidRDefault="00682F29" w:rsidP="00C87354">
      <w:pPr>
        <w:spacing w:after="0" w:line="480" w:lineRule="auto"/>
        <w:ind w:firstLine="720"/>
        <w:rPr>
          <w:rFonts w:ascii="Times New Roman" w:eastAsia="Times New Roman" w:hAnsi="Times New Roman" w:cs="Times New Roman"/>
          <w:color w:val="000000" w:themeColor="text1"/>
          <w:sz w:val="24"/>
          <w:szCs w:val="24"/>
        </w:rPr>
      </w:pPr>
      <w:r w:rsidRPr="00AF7F93">
        <w:rPr>
          <w:rFonts w:ascii="Times New Roman" w:eastAsia="Times New Roman" w:hAnsi="Times New Roman" w:cs="Times New Roman"/>
          <w:color w:val="000000" w:themeColor="text1"/>
          <w:sz w:val="24"/>
          <w:szCs w:val="24"/>
        </w:rPr>
        <w:t>The recidivism rate of released criminals is the primary prison system's concern. It is a vital measure used by the prison system to reintegrate criminals securely into the public (Cook et al. 2015). Several programs are formulated to help prisoners to cope up with their day-to-day activities in the jail as well as assist them in adapting in public immediately they are unconfined. Since 2013, the analysis indicates that 75 per cent of the former prisoners re-entered prison after 2-3 years. In the criminal system of justice, the extreme rate of recidivism is the distressing matter regardless of the nongovernment and government firm's effort to eradicate it. This has raised the need for further analysis mainly on the programs of rehabilitation and the return efficiency, comprising mental health as well as physical exploitation therapy programs useful in minimizing recidivism. The highest need for criminogenic concerning the offenders' identification is entrenched into further modernized therapy programs. The strategies create room for resource addition. This encourages active return as well as helping in the proper training of mental health experts, communal leaders and officers of probation. These people play a role in assisting former prisoners to become good citizens</w:t>
      </w:r>
      <w:r w:rsidR="00580950" w:rsidRPr="00AF7F93">
        <w:rPr>
          <w:rFonts w:ascii="Times New Roman" w:eastAsia="Times New Roman" w:hAnsi="Times New Roman" w:cs="Times New Roman"/>
          <w:color w:val="000000" w:themeColor="text1"/>
          <w:sz w:val="24"/>
          <w:szCs w:val="24"/>
        </w:rPr>
        <w:t xml:space="preserve"> (Freudenberg et al. 2010)</w:t>
      </w:r>
      <w:r w:rsidRPr="00AF7F93">
        <w:rPr>
          <w:rFonts w:ascii="Times New Roman" w:eastAsia="Times New Roman" w:hAnsi="Times New Roman" w:cs="Times New Roman"/>
          <w:color w:val="000000" w:themeColor="text1"/>
          <w:sz w:val="24"/>
          <w:szCs w:val="24"/>
        </w:rPr>
        <w:t>. The study will also offer a debate about the importance of carrying out the research, and the study's delimitations, assumptions, and limitations.</w:t>
      </w:r>
    </w:p>
    <w:p w:rsidR="00B51C17" w:rsidRPr="00AF7F93" w:rsidRDefault="00682F29" w:rsidP="00C87354">
      <w:pPr>
        <w:spacing w:after="0" w:line="480" w:lineRule="auto"/>
        <w:rPr>
          <w:rFonts w:ascii="Times New Roman" w:eastAsia="Times New Roman" w:hAnsi="Times New Roman" w:cs="Times New Roman"/>
          <w:b/>
          <w:color w:val="000000" w:themeColor="text1"/>
          <w:sz w:val="24"/>
          <w:szCs w:val="24"/>
        </w:rPr>
      </w:pPr>
      <w:r w:rsidRPr="00AF7F93">
        <w:rPr>
          <w:rFonts w:ascii="Times New Roman" w:eastAsia="Times New Roman" w:hAnsi="Times New Roman" w:cs="Times New Roman"/>
          <w:b/>
          <w:color w:val="000000" w:themeColor="text1"/>
          <w:sz w:val="24"/>
          <w:szCs w:val="24"/>
        </w:rPr>
        <w:t>Why is it essential that the problem is addressed?</w:t>
      </w:r>
    </w:p>
    <w:p w:rsidR="00B51C17" w:rsidRPr="00AF7F93" w:rsidRDefault="00682F29" w:rsidP="00C87354">
      <w:pPr>
        <w:spacing w:after="0" w:line="480" w:lineRule="auto"/>
        <w:ind w:firstLine="720"/>
        <w:rPr>
          <w:rFonts w:ascii="Times New Roman" w:eastAsia="Times New Roman" w:hAnsi="Times New Roman" w:cs="Times New Roman"/>
          <w:color w:val="000000" w:themeColor="text1"/>
          <w:sz w:val="24"/>
          <w:szCs w:val="24"/>
        </w:rPr>
      </w:pPr>
      <w:r w:rsidRPr="00AF7F93">
        <w:rPr>
          <w:rFonts w:ascii="Times New Roman" w:eastAsia="Times New Roman" w:hAnsi="Times New Roman" w:cs="Times New Roman"/>
          <w:color w:val="000000" w:themeColor="text1"/>
          <w:sz w:val="24"/>
          <w:szCs w:val="24"/>
        </w:rPr>
        <w:t xml:space="preserve">Essentially, the main task undertaken by this study is to provide empirically-built, evidential and triangulated studies regarding re-entry programs. The study is based on US </w:t>
      </w:r>
      <w:r w:rsidRPr="00AF7F93">
        <w:rPr>
          <w:rFonts w:ascii="Times New Roman" w:eastAsia="Times New Roman" w:hAnsi="Times New Roman" w:cs="Times New Roman"/>
          <w:color w:val="000000" w:themeColor="text1"/>
          <w:sz w:val="24"/>
          <w:szCs w:val="24"/>
        </w:rPr>
        <w:lastRenderedPageBreak/>
        <w:t>Prisons and  Penitentiary studies which critique the effectiveness of Re-entry Programs from criminological and reformative perspective. Notably, in the unpalatable truth, that re-entry programs had not reformed released prisoners. But, on the other hand, have contributed to alarming increases in recidivism or the return of prisoners back to prisons within 3-5  years after their release thus nullifying the very purpose of such Programs</w:t>
      </w:r>
      <w:r w:rsidR="00EA060F" w:rsidRPr="00AF7F93">
        <w:rPr>
          <w:rFonts w:ascii="Times New Roman" w:eastAsia="Times New Roman" w:hAnsi="Times New Roman" w:cs="Times New Roman"/>
          <w:color w:val="000000" w:themeColor="text1"/>
          <w:sz w:val="24"/>
          <w:szCs w:val="24"/>
        </w:rPr>
        <w:t xml:space="preserve"> (Cole, Smith, &amp; DeJong, 2018)</w:t>
      </w:r>
      <w:r w:rsidRPr="00AF7F93">
        <w:rPr>
          <w:rFonts w:ascii="Times New Roman" w:eastAsia="Times New Roman" w:hAnsi="Times New Roman" w:cs="Times New Roman"/>
          <w:color w:val="000000" w:themeColor="text1"/>
          <w:sz w:val="24"/>
          <w:szCs w:val="24"/>
        </w:rPr>
        <w:t>.</w:t>
      </w:r>
      <w:r w:rsidR="00142573" w:rsidRPr="00AF7F93">
        <w:rPr>
          <w:rFonts w:ascii="Times New Roman" w:eastAsia="Times New Roman" w:hAnsi="Times New Roman" w:cs="Times New Roman"/>
          <w:color w:val="000000" w:themeColor="text1"/>
          <w:sz w:val="24"/>
          <w:szCs w:val="24"/>
        </w:rPr>
        <w:t xml:space="preserve">Over the previous years, the number of prisoners has decreased, while the recidivism problem is still a challenge in the prison system even after the release of the inmates. Thus the high rate of recidivism remains the most significant barrier in the criminal system of justice, in spite of the efforts made by the government in preparing inmates for rehabilitation into the community as well as becoming good residents. Various aspects, for instance, services for mental health, education, physical abuse treatment and employment to a more significant extent, may influence recidivism between former prisoners. In most cases, the perception of the society about former prisoners is to ensure the unconfined criminals maintain their lives </w:t>
      </w:r>
      <w:r w:rsidR="00EA060F" w:rsidRPr="00AF7F93">
        <w:rPr>
          <w:rFonts w:ascii="Times New Roman" w:eastAsia="Times New Roman" w:hAnsi="Times New Roman" w:cs="Times New Roman"/>
          <w:color w:val="000000" w:themeColor="text1"/>
          <w:sz w:val="24"/>
          <w:szCs w:val="24"/>
        </w:rPr>
        <w:t>directions (Cook et al. 2015)</w:t>
      </w:r>
      <w:r w:rsidR="00142573" w:rsidRPr="00AF7F93">
        <w:rPr>
          <w:rFonts w:ascii="Times New Roman" w:eastAsia="Times New Roman" w:hAnsi="Times New Roman" w:cs="Times New Roman"/>
          <w:color w:val="000000" w:themeColor="text1"/>
          <w:sz w:val="24"/>
          <w:szCs w:val="24"/>
        </w:rPr>
        <w:t xml:space="preserve">. Characteristically, life limitations, as well as employment, influence the life navigation of released criminals.  </w:t>
      </w:r>
    </w:p>
    <w:p w:rsidR="00B51C17" w:rsidRPr="00AF7F93" w:rsidRDefault="00682F29" w:rsidP="00C87354">
      <w:pPr>
        <w:spacing w:after="0" w:line="480" w:lineRule="auto"/>
        <w:rPr>
          <w:rFonts w:ascii="Times New Roman" w:eastAsia="Times New Roman" w:hAnsi="Times New Roman" w:cs="Times New Roman"/>
          <w:b/>
          <w:color w:val="000000" w:themeColor="text1"/>
          <w:sz w:val="24"/>
          <w:szCs w:val="24"/>
        </w:rPr>
      </w:pPr>
      <w:r w:rsidRPr="00AF7F93">
        <w:rPr>
          <w:rFonts w:ascii="Times New Roman" w:eastAsia="Times New Roman" w:hAnsi="Times New Roman" w:cs="Times New Roman"/>
          <w:b/>
          <w:color w:val="000000" w:themeColor="text1"/>
          <w:sz w:val="24"/>
          <w:szCs w:val="24"/>
        </w:rPr>
        <w:t>Who is impacted internally and externally?</w:t>
      </w:r>
    </w:p>
    <w:p w:rsidR="00B51C17" w:rsidRPr="00AF7F93" w:rsidRDefault="00682F29" w:rsidP="00C87354">
      <w:pPr>
        <w:spacing w:after="0" w:line="480" w:lineRule="auto"/>
        <w:ind w:firstLine="720"/>
        <w:rPr>
          <w:rFonts w:ascii="Times New Roman" w:eastAsia="Times New Roman" w:hAnsi="Times New Roman" w:cs="Times New Roman"/>
          <w:color w:val="000000" w:themeColor="text1"/>
          <w:sz w:val="24"/>
          <w:szCs w:val="24"/>
        </w:rPr>
      </w:pPr>
      <w:r w:rsidRPr="00AF7F93">
        <w:rPr>
          <w:rFonts w:ascii="Times New Roman" w:eastAsia="Times New Roman" w:hAnsi="Times New Roman" w:cs="Times New Roman"/>
          <w:color w:val="000000" w:themeColor="text1"/>
          <w:sz w:val="24"/>
          <w:szCs w:val="24"/>
        </w:rPr>
        <w:t>The primary target of rehabilitation agendas, as well as prisoner re-entry, is to provide criminals with the direction and support they require</w:t>
      </w:r>
      <w:r w:rsidR="00EA060F" w:rsidRPr="00AF7F93">
        <w:rPr>
          <w:rFonts w:ascii="Times New Roman" w:hAnsi="Times New Roman" w:cs="Times New Roman"/>
          <w:color w:val="000000" w:themeColor="text1"/>
          <w:sz w:val="24"/>
          <w:szCs w:val="24"/>
        </w:rPr>
        <w:t xml:space="preserve"> (</w:t>
      </w:r>
      <w:r w:rsidR="00EA060F" w:rsidRPr="00AF7F93">
        <w:rPr>
          <w:rFonts w:ascii="Times New Roman" w:eastAsia="Times New Roman" w:hAnsi="Times New Roman" w:cs="Times New Roman"/>
          <w:color w:val="000000" w:themeColor="text1"/>
          <w:sz w:val="24"/>
          <w:szCs w:val="24"/>
        </w:rPr>
        <w:t>Cole, Smith, &amp; DeJong, 2018)</w:t>
      </w:r>
      <w:r w:rsidRPr="00AF7F93">
        <w:rPr>
          <w:rFonts w:ascii="Times New Roman" w:eastAsia="Times New Roman" w:hAnsi="Times New Roman" w:cs="Times New Roman"/>
          <w:color w:val="000000" w:themeColor="text1"/>
          <w:sz w:val="24"/>
          <w:szCs w:val="24"/>
        </w:rPr>
        <w:t xml:space="preserve">. Some of the particular factors of rehabilitation agendas or prisoner re-entry that are active and proficient in meeting recidivism needs are being identified by most of the researcher. For example, treatment of mental health house assistance, work placement and training as well as severe drug treatment, despite the rising rate of recidivism. Consequently, carrying out this study will enable the researcher to explore two groups of people, including non-recidivist and former recidivist </w:t>
      </w:r>
      <w:r w:rsidRPr="00AF7F93">
        <w:rPr>
          <w:rFonts w:ascii="Times New Roman" w:eastAsia="Times New Roman" w:hAnsi="Times New Roman" w:cs="Times New Roman"/>
          <w:color w:val="000000" w:themeColor="text1"/>
          <w:sz w:val="24"/>
          <w:szCs w:val="24"/>
        </w:rPr>
        <w:lastRenderedPageBreak/>
        <w:t>criminals. This will as well assist the investigator in determining if therapy care can perhaps help the expected re-entry prisoners and evade recidivism (Cook et al. 2015).</w:t>
      </w:r>
      <w:r w:rsidR="00EE3159" w:rsidRPr="00AF7F93">
        <w:rPr>
          <w:rFonts w:ascii="Times New Roman" w:eastAsia="Times New Roman" w:hAnsi="Times New Roman" w:cs="Times New Roman"/>
          <w:color w:val="000000" w:themeColor="text1"/>
          <w:sz w:val="24"/>
          <w:szCs w:val="24"/>
        </w:rPr>
        <w:t>This study covers some of the programs and resource that may be helpful to active re-entry. It also offers significant assistance to prison officials, public leaders, managers of re-entry program and forensic consultants in discovering the criminogenic needs of released prisoners and factors of risk on the Service Inventory-Revised assessment level abbreviated as LSI-R, as well as risk levels of recidivism. The Risk-Needs Responsivity is a philosophy regarding the empirically-authenticated psychosomatic concept. I</w:t>
      </w:r>
      <w:r w:rsidR="004274EB">
        <w:rPr>
          <w:rFonts w:ascii="Times New Roman" w:eastAsia="Times New Roman" w:hAnsi="Times New Roman" w:cs="Times New Roman"/>
          <w:color w:val="000000" w:themeColor="text1"/>
          <w:sz w:val="24"/>
          <w:szCs w:val="24"/>
        </w:rPr>
        <w:t>t accentuates on the acknowledg</w:t>
      </w:r>
      <w:r w:rsidR="00EE3159" w:rsidRPr="00AF7F93">
        <w:rPr>
          <w:rFonts w:ascii="Times New Roman" w:eastAsia="Times New Roman" w:hAnsi="Times New Roman" w:cs="Times New Roman"/>
          <w:color w:val="000000" w:themeColor="text1"/>
          <w:sz w:val="24"/>
          <w:szCs w:val="24"/>
        </w:rPr>
        <w:t>ment of an individual and the</w:t>
      </w:r>
      <w:bookmarkStart w:id="0" w:name="_GoBack"/>
      <w:bookmarkEnd w:id="0"/>
      <w:r w:rsidR="00EE3159" w:rsidRPr="00AF7F93">
        <w:rPr>
          <w:rFonts w:ascii="Times New Roman" w:eastAsia="Times New Roman" w:hAnsi="Times New Roman" w:cs="Times New Roman"/>
          <w:color w:val="000000" w:themeColor="text1"/>
          <w:sz w:val="24"/>
          <w:szCs w:val="24"/>
        </w:rPr>
        <w:t xml:space="preserve"> normative rehabilitation framework as well as asserting the validity and significance of services for preventi</w:t>
      </w:r>
      <w:r w:rsidR="00747988" w:rsidRPr="00AF7F93">
        <w:rPr>
          <w:rFonts w:ascii="Times New Roman" w:eastAsia="Times New Roman" w:hAnsi="Times New Roman" w:cs="Times New Roman"/>
          <w:color w:val="000000" w:themeColor="text1"/>
          <w:sz w:val="24"/>
          <w:szCs w:val="24"/>
        </w:rPr>
        <w:t>ng the act of breaking the law</w:t>
      </w:r>
      <w:r w:rsidR="00FB3B28" w:rsidRPr="00AF7F93">
        <w:rPr>
          <w:rFonts w:ascii="Times New Roman" w:eastAsia="Times New Roman" w:hAnsi="Times New Roman" w:cs="Times New Roman"/>
          <w:color w:val="000000" w:themeColor="text1"/>
          <w:sz w:val="24"/>
          <w:szCs w:val="24"/>
        </w:rPr>
        <w:t xml:space="preserve"> (Freudenberg et al. 2010)</w:t>
      </w:r>
      <w:r w:rsidR="00EE3159" w:rsidRPr="00AF7F93">
        <w:rPr>
          <w:rFonts w:ascii="Times New Roman" w:eastAsia="Times New Roman" w:hAnsi="Times New Roman" w:cs="Times New Roman"/>
          <w:color w:val="000000" w:themeColor="text1"/>
          <w:sz w:val="24"/>
          <w:szCs w:val="24"/>
        </w:rPr>
        <w:t xml:space="preserve">.  The LSI-R valuation implementation in consort with the criminogenic needs of the criminals as well as risk aspects of dynamic throughout the planning of the treatment might consent inmate justice. Community rehabilitation may change the behaviour of the criminal before re-entry.   </w:t>
      </w:r>
    </w:p>
    <w:p w:rsidR="00B51C17" w:rsidRPr="00AF7F93" w:rsidRDefault="00682F29" w:rsidP="00C87354">
      <w:pPr>
        <w:spacing w:after="0" w:line="480" w:lineRule="auto"/>
        <w:rPr>
          <w:rFonts w:ascii="Times New Roman" w:eastAsia="Times New Roman" w:hAnsi="Times New Roman" w:cs="Times New Roman"/>
          <w:b/>
          <w:color w:val="000000" w:themeColor="text1"/>
          <w:sz w:val="24"/>
          <w:szCs w:val="24"/>
        </w:rPr>
      </w:pPr>
      <w:r w:rsidRPr="00AF7F93">
        <w:rPr>
          <w:rFonts w:ascii="Times New Roman" w:eastAsia="Times New Roman" w:hAnsi="Times New Roman" w:cs="Times New Roman"/>
          <w:b/>
          <w:color w:val="000000" w:themeColor="text1"/>
          <w:sz w:val="24"/>
          <w:szCs w:val="24"/>
        </w:rPr>
        <w:t xml:space="preserve">Why do you feel the problem </w:t>
      </w:r>
      <w:r w:rsidR="00AD1B24" w:rsidRPr="00AF7F93">
        <w:rPr>
          <w:rFonts w:ascii="Times New Roman" w:eastAsia="Times New Roman" w:hAnsi="Times New Roman" w:cs="Times New Roman"/>
          <w:b/>
          <w:color w:val="000000" w:themeColor="text1"/>
          <w:sz w:val="24"/>
          <w:szCs w:val="24"/>
        </w:rPr>
        <w:t>hasn’t</w:t>
      </w:r>
      <w:r w:rsidRPr="00AF7F93">
        <w:rPr>
          <w:rFonts w:ascii="Times New Roman" w:eastAsia="Times New Roman" w:hAnsi="Times New Roman" w:cs="Times New Roman"/>
          <w:b/>
          <w:color w:val="000000" w:themeColor="text1"/>
          <w:sz w:val="24"/>
          <w:szCs w:val="24"/>
        </w:rPr>
        <w:t xml:space="preserve"> already been solved?</w:t>
      </w:r>
    </w:p>
    <w:p w:rsidR="00AD1B24" w:rsidRDefault="00682F29" w:rsidP="00C87354">
      <w:pPr>
        <w:spacing w:after="0" w:line="480" w:lineRule="auto"/>
        <w:ind w:firstLine="720"/>
        <w:rPr>
          <w:rFonts w:ascii="Times New Roman" w:eastAsia="Times New Roman" w:hAnsi="Times New Roman" w:cs="Times New Roman"/>
          <w:color w:val="000000" w:themeColor="text1"/>
          <w:sz w:val="24"/>
          <w:szCs w:val="24"/>
        </w:rPr>
      </w:pPr>
      <w:r w:rsidRPr="00AF7F93">
        <w:rPr>
          <w:rFonts w:ascii="Times New Roman" w:eastAsia="Times New Roman" w:hAnsi="Times New Roman" w:cs="Times New Roman"/>
          <w:color w:val="000000" w:themeColor="text1"/>
          <w:sz w:val="24"/>
          <w:szCs w:val="24"/>
        </w:rPr>
        <w:t>The therapist specialism, especially in the forensic population, is the current demand. Nevertheless, the Council for Accreditation of Counselling and Related Educational Programs of 2016 failed to acknowledge documentation training mainly in the forensic therapy field</w:t>
      </w:r>
      <w:r w:rsidR="00246B11" w:rsidRPr="00AF7F93">
        <w:rPr>
          <w:rFonts w:ascii="Times New Roman" w:eastAsia="Times New Roman" w:hAnsi="Times New Roman" w:cs="Times New Roman"/>
          <w:color w:val="000000" w:themeColor="text1"/>
          <w:sz w:val="24"/>
          <w:szCs w:val="24"/>
        </w:rPr>
        <w:t xml:space="preserve"> (Cook et al. 2015)</w:t>
      </w:r>
      <w:r w:rsidRPr="00AF7F93">
        <w:rPr>
          <w:rFonts w:ascii="Times New Roman" w:eastAsia="Times New Roman" w:hAnsi="Times New Roman" w:cs="Times New Roman"/>
          <w:color w:val="000000" w:themeColor="text1"/>
          <w:sz w:val="24"/>
          <w:szCs w:val="24"/>
        </w:rPr>
        <w:t xml:space="preserve">. Some of the therapy programs offered in forensics comprising personal psychotherapy, assessment, and intake, addiction therapy, group therapy as well as treatment and diagnosis planning are addressed in the overall therapist training curricula. In addition to that, there are other services, for example, mental health policy awareness, specialist forensic evidence, understanding mental health firms, and judicial functions, ambiguity concerning privacy as well </w:t>
      </w:r>
      <w:r w:rsidRPr="00AF7F93">
        <w:rPr>
          <w:rFonts w:ascii="Times New Roman" w:eastAsia="Times New Roman" w:hAnsi="Times New Roman" w:cs="Times New Roman"/>
          <w:color w:val="000000" w:themeColor="text1"/>
          <w:sz w:val="24"/>
          <w:szCs w:val="24"/>
        </w:rPr>
        <w:lastRenderedPageBreak/>
        <w:t>as Incompetency to Stand Trial that can negatively impact the unacquainted, unqualified criminological therapist.</w:t>
      </w:r>
    </w:p>
    <w:p w:rsidR="00655CF1" w:rsidRPr="00AF7F93" w:rsidRDefault="00655CF1" w:rsidP="00C87354">
      <w:pPr>
        <w:spacing w:after="0" w:line="480" w:lineRule="auto"/>
        <w:ind w:firstLine="720"/>
        <w:rPr>
          <w:rFonts w:ascii="Times New Roman" w:eastAsia="Times New Roman" w:hAnsi="Times New Roman" w:cs="Times New Roman"/>
          <w:color w:val="000000" w:themeColor="text1"/>
          <w:sz w:val="24"/>
          <w:szCs w:val="24"/>
        </w:rPr>
      </w:pPr>
    </w:p>
    <w:p w:rsidR="00344D0A" w:rsidRPr="00AF7F93" w:rsidRDefault="00682F29" w:rsidP="00C87354">
      <w:pPr>
        <w:spacing w:after="0" w:line="480" w:lineRule="auto"/>
        <w:jc w:val="center"/>
        <w:rPr>
          <w:rFonts w:ascii="Times New Roman" w:eastAsia="Times New Roman" w:hAnsi="Times New Roman" w:cs="Times New Roman"/>
          <w:color w:val="000000" w:themeColor="text1"/>
          <w:sz w:val="24"/>
          <w:szCs w:val="24"/>
        </w:rPr>
      </w:pPr>
      <w:r w:rsidRPr="00AF7F93">
        <w:rPr>
          <w:rFonts w:ascii="Times New Roman" w:eastAsia="Times New Roman" w:hAnsi="Times New Roman" w:cs="Times New Roman"/>
          <w:color w:val="000000" w:themeColor="text1"/>
          <w:sz w:val="24"/>
          <w:szCs w:val="24"/>
        </w:rPr>
        <w:t>References</w:t>
      </w:r>
    </w:p>
    <w:p w:rsidR="00536C37" w:rsidRPr="00AF7F93" w:rsidRDefault="00682F29" w:rsidP="00C87354">
      <w:pPr>
        <w:spacing w:after="0" w:line="480" w:lineRule="auto"/>
        <w:ind w:left="720" w:hanging="720"/>
        <w:rPr>
          <w:rFonts w:ascii="Times New Roman" w:eastAsia="Times New Roman" w:hAnsi="Times New Roman" w:cs="Times New Roman"/>
          <w:color w:val="000000" w:themeColor="text1"/>
          <w:sz w:val="24"/>
          <w:szCs w:val="24"/>
        </w:rPr>
      </w:pPr>
      <w:r w:rsidRPr="00AF7F93">
        <w:rPr>
          <w:rFonts w:ascii="Times New Roman" w:eastAsia="Times New Roman" w:hAnsi="Times New Roman" w:cs="Times New Roman"/>
          <w:color w:val="000000" w:themeColor="text1"/>
          <w:sz w:val="24"/>
          <w:szCs w:val="24"/>
        </w:rPr>
        <w:t>Cole, G. F., Smith, C. E., &amp; DeJong, C. (2018). The American system of criminal justice. Cengage Learning.</w:t>
      </w:r>
    </w:p>
    <w:p w:rsidR="00747988" w:rsidRPr="00AF7F93" w:rsidRDefault="00682F29" w:rsidP="00C87354">
      <w:pPr>
        <w:spacing w:after="0" w:line="480" w:lineRule="auto"/>
        <w:ind w:left="720" w:hanging="720"/>
        <w:rPr>
          <w:rFonts w:ascii="Times New Roman" w:eastAsia="Times New Roman" w:hAnsi="Times New Roman" w:cs="Times New Roman"/>
          <w:color w:val="000000" w:themeColor="text1"/>
          <w:sz w:val="24"/>
          <w:szCs w:val="24"/>
        </w:rPr>
      </w:pPr>
      <w:r w:rsidRPr="00AF7F93">
        <w:rPr>
          <w:rFonts w:ascii="Times New Roman" w:eastAsia="Times New Roman" w:hAnsi="Times New Roman" w:cs="Times New Roman"/>
          <w:color w:val="000000" w:themeColor="text1"/>
          <w:sz w:val="24"/>
          <w:szCs w:val="24"/>
        </w:rPr>
        <w:t>Cook, P. J., Kang, S., Braga, A. A., Ludwig, J., &amp; O’Brien, M. E. (2015). An experimental evaluation of a comprehensive employment-oriented prisoner re-entry program. Journal of Quantitative Criminology, 31(3), 355-382.</w:t>
      </w:r>
    </w:p>
    <w:p w:rsidR="00910A7C" w:rsidRPr="00AF7F93" w:rsidRDefault="00682F29" w:rsidP="00C87354">
      <w:pPr>
        <w:spacing w:after="0" w:line="480" w:lineRule="auto"/>
        <w:ind w:left="720" w:hanging="720"/>
        <w:rPr>
          <w:rFonts w:ascii="Times New Roman" w:eastAsia="Times New Roman" w:hAnsi="Times New Roman" w:cs="Times New Roman"/>
          <w:color w:val="000000" w:themeColor="text1"/>
          <w:sz w:val="24"/>
          <w:szCs w:val="24"/>
        </w:rPr>
      </w:pPr>
      <w:r w:rsidRPr="00AF7F93">
        <w:rPr>
          <w:rFonts w:ascii="Times New Roman" w:eastAsia="Times New Roman" w:hAnsi="Times New Roman" w:cs="Times New Roman"/>
          <w:color w:val="000000" w:themeColor="text1"/>
          <w:sz w:val="24"/>
          <w:szCs w:val="24"/>
        </w:rPr>
        <w:t>Freudenberg, N., Ramaswamy, M., Daniels, J., Crum, M., Ompad, D. C., &amp; Vlahov, D. (2010). Reducing drug use, human immunodeficiency virus risk, and recidivism among young men leaving jail: Evaluation of the REAL MEN re-entry program. Journal of Adolescent Health, 47(5), 448-455.</w:t>
      </w:r>
    </w:p>
    <w:p w:rsidR="00B51C17" w:rsidRPr="00AF7F93" w:rsidRDefault="00B51C17" w:rsidP="00C87354">
      <w:pPr>
        <w:spacing w:after="0" w:line="480" w:lineRule="auto"/>
        <w:ind w:left="720" w:hanging="720"/>
        <w:rPr>
          <w:rFonts w:ascii="Times New Roman" w:eastAsia="Times New Roman" w:hAnsi="Times New Roman" w:cs="Times New Roman"/>
          <w:color w:val="000000" w:themeColor="text1"/>
          <w:sz w:val="24"/>
          <w:szCs w:val="24"/>
        </w:rPr>
      </w:pPr>
    </w:p>
    <w:p w:rsidR="00B51C17" w:rsidRPr="00AF7F93" w:rsidRDefault="00B51C17" w:rsidP="00C87354">
      <w:pPr>
        <w:spacing w:after="0" w:line="480" w:lineRule="auto"/>
        <w:ind w:left="720" w:hanging="720"/>
        <w:rPr>
          <w:rFonts w:ascii="Times New Roman" w:eastAsia="Times New Roman" w:hAnsi="Times New Roman" w:cs="Times New Roman"/>
          <w:color w:val="000000" w:themeColor="text1"/>
          <w:sz w:val="24"/>
          <w:szCs w:val="24"/>
        </w:rPr>
      </w:pPr>
    </w:p>
    <w:p w:rsidR="00B51C17" w:rsidRPr="00AF7F93" w:rsidRDefault="00B51C17" w:rsidP="00C87354">
      <w:pPr>
        <w:spacing w:after="0" w:line="480" w:lineRule="auto"/>
        <w:rPr>
          <w:rFonts w:ascii="Times New Roman" w:eastAsia="Times New Roman" w:hAnsi="Times New Roman" w:cs="Times New Roman"/>
          <w:color w:val="000000" w:themeColor="text1"/>
          <w:sz w:val="24"/>
          <w:szCs w:val="24"/>
        </w:rPr>
      </w:pPr>
    </w:p>
    <w:p w:rsidR="00B51C17" w:rsidRPr="00AF7F93" w:rsidRDefault="00B51C17" w:rsidP="00C87354">
      <w:pPr>
        <w:spacing w:line="480" w:lineRule="auto"/>
        <w:rPr>
          <w:rFonts w:ascii="Times New Roman" w:hAnsi="Times New Roman" w:cs="Times New Roman"/>
          <w:color w:val="000000" w:themeColor="text1"/>
          <w:sz w:val="24"/>
          <w:szCs w:val="24"/>
        </w:rPr>
      </w:pPr>
    </w:p>
    <w:sectPr w:rsidR="00B51C17" w:rsidRPr="00AF7F93" w:rsidSect="004274EB">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87347" w:rsidRDefault="00787347">
      <w:pPr>
        <w:spacing w:after="0" w:line="240" w:lineRule="auto"/>
      </w:pPr>
      <w:r>
        <w:separator/>
      </w:r>
    </w:p>
  </w:endnote>
  <w:endnote w:type="continuationSeparator" w:id="1">
    <w:p w:rsidR="00787347" w:rsidRDefault="0078734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87347" w:rsidRDefault="00787347">
      <w:pPr>
        <w:spacing w:after="0" w:line="240" w:lineRule="auto"/>
      </w:pPr>
      <w:r>
        <w:separator/>
      </w:r>
    </w:p>
  </w:footnote>
  <w:footnote w:type="continuationSeparator" w:id="1">
    <w:p w:rsidR="00787347" w:rsidRDefault="0078734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F93" w:rsidRPr="00AF7F93" w:rsidRDefault="004274EB" w:rsidP="004274EB">
    <w:pPr>
      <w:pStyle w:val="Header"/>
      <w:jc w:val="center"/>
      <w:rPr>
        <w:rFonts w:ascii="Times New Roman" w:hAnsi="Times New Roman" w:cs="Times New Roman"/>
        <w:sz w:val="24"/>
        <w:szCs w:val="24"/>
      </w:rPr>
    </w:pPr>
    <w:r>
      <w:rPr>
        <w:rFonts w:ascii="Times New Roman" w:hAnsi="Times New Roman" w:cs="Times New Roman"/>
        <w:noProof/>
        <w:sz w:val="24"/>
        <w:szCs w:val="24"/>
      </w:rPr>
      <w:t xml:space="preserve">WORKSHEET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51C17"/>
    <w:rsid w:val="0000291A"/>
    <w:rsid w:val="00142573"/>
    <w:rsid w:val="00237C45"/>
    <w:rsid w:val="00246B11"/>
    <w:rsid w:val="00344D0A"/>
    <w:rsid w:val="003658B1"/>
    <w:rsid w:val="003A2C00"/>
    <w:rsid w:val="004274EB"/>
    <w:rsid w:val="00536C37"/>
    <w:rsid w:val="00580950"/>
    <w:rsid w:val="00597C4E"/>
    <w:rsid w:val="00655CF1"/>
    <w:rsid w:val="00682F29"/>
    <w:rsid w:val="00747988"/>
    <w:rsid w:val="00787347"/>
    <w:rsid w:val="00866CD5"/>
    <w:rsid w:val="00907190"/>
    <w:rsid w:val="00910A7C"/>
    <w:rsid w:val="00A46060"/>
    <w:rsid w:val="00A833FB"/>
    <w:rsid w:val="00AD1B24"/>
    <w:rsid w:val="00AF7F93"/>
    <w:rsid w:val="00B51C17"/>
    <w:rsid w:val="00C87354"/>
    <w:rsid w:val="00E40036"/>
    <w:rsid w:val="00EA060F"/>
    <w:rsid w:val="00EE3159"/>
    <w:rsid w:val="00F215D8"/>
    <w:rsid w:val="00FB3B2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003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B51C17"/>
  </w:style>
  <w:style w:type="paragraph" w:styleId="Header">
    <w:name w:val="header"/>
    <w:basedOn w:val="Normal"/>
    <w:link w:val="HeaderChar"/>
    <w:uiPriority w:val="99"/>
    <w:unhideWhenUsed/>
    <w:rsid w:val="00AF7F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7F93"/>
  </w:style>
  <w:style w:type="paragraph" w:styleId="Footer">
    <w:name w:val="footer"/>
    <w:basedOn w:val="Normal"/>
    <w:link w:val="FooterChar"/>
    <w:uiPriority w:val="99"/>
    <w:unhideWhenUsed/>
    <w:rsid w:val="00AF7F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AF7F9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994</Words>
  <Characters>5672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2019-07-20T09:25:00Z</dcterms:created>
  <dcterms:modified xsi:type="dcterms:W3CDTF">2019-07-20T09:25:00Z</dcterms:modified>
</cp:coreProperties>
</file>