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3A4" w:rsidRDefault="007E43A4" w:rsidP="00BC176F">
      <w:pPr>
        <w:spacing w:line="480" w:lineRule="auto"/>
        <w:jc w:val="center"/>
      </w:pPr>
      <w:bookmarkStart w:id="0" w:name="_GoBack"/>
      <w:bookmarkEnd w:id="0"/>
    </w:p>
    <w:p w:rsidR="007E43A4" w:rsidRDefault="007E43A4" w:rsidP="00BC176F">
      <w:pPr>
        <w:spacing w:line="480" w:lineRule="auto"/>
        <w:jc w:val="center"/>
      </w:pPr>
    </w:p>
    <w:p w:rsidR="007E43A4" w:rsidRDefault="007E43A4" w:rsidP="00BC176F">
      <w:pPr>
        <w:spacing w:line="480" w:lineRule="auto"/>
        <w:jc w:val="center"/>
      </w:pPr>
    </w:p>
    <w:p w:rsidR="007E43A4" w:rsidRDefault="007E43A4" w:rsidP="00BC176F">
      <w:pPr>
        <w:spacing w:line="480" w:lineRule="auto"/>
        <w:jc w:val="center"/>
      </w:pPr>
    </w:p>
    <w:p w:rsidR="00580FA2" w:rsidRDefault="00580FA2" w:rsidP="00BC176F">
      <w:pPr>
        <w:spacing w:line="480" w:lineRule="auto"/>
        <w:jc w:val="center"/>
      </w:pPr>
      <w:r>
        <w:t>Plight of Immigrants in the United States (1877-1911)</w:t>
      </w:r>
    </w:p>
    <w:p w:rsidR="00BC176F" w:rsidRDefault="00BC176F" w:rsidP="00BC176F">
      <w:pPr>
        <w:jc w:val="center"/>
      </w:pPr>
    </w:p>
    <w:p w:rsidR="00BC176F" w:rsidRDefault="00BC176F" w:rsidP="00BC176F">
      <w:pPr>
        <w:jc w:val="center"/>
      </w:pPr>
    </w:p>
    <w:p w:rsidR="00BC176F" w:rsidRDefault="00BC176F" w:rsidP="00BC176F">
      <w:pPr>
        <w:jc w:val="center"/>
      </w:pPr>
    </w:p>
    <w:p w:rsidR="00BC176F" w:rsidRDefault="00BC176F" w:rsidP="00BC176F">
      <w:pPr>
        <w:jc w:val="center"/>
      </w:pPr>
    </w:p>
    <w:p w:rsidR="00BC176F" w:rsidRDefault="00BC176F" w:rsidP="00BC176F">
      <w:pPr>
        <w:jc w:val="center"/>
      </w:pPr>
    </w:p>
    <w:p w:rsidR="00BC176F" w:rsidRDefault="00BC176F" w:rsidP="00BC176F">
      <w:pPr>
        <w:jc w:val="center"/>
      </w:pPr>
    </w:p>
    <w:p w:rsidR="00580FA2" w:rsidRDefault="00580FA2" w:rsidP="0029553E">
      <w:pPr>
        <w:spacing w:line="480" w:lineRule="auto"/>
        <w:jc w:val="center"/>
      </w:pPr>
      <w:r>
        <w:t>Name</w:t>
      </w:r>
    </w:p>
    <w:p w:rsidR="00580FA2" w:rsidRDefault="00580FA2" w:rsidP="0029553E">
      <w:pPr>
        <w:spacing w:line="480" w:lineRule="auto"/>
        <w:jc w:val="center"/>
      </w:pPr>
      <w:r>
        <w:t>Course Name</w:t>
      </w:r>
    </w:p>
    <w:p w:rsidR="00580FA2" w:rsidRDefault="00580FA2" w:rsidP="0029553E">
      <w:pPr>
        <w:spacing w:line="480" w:lineRule="auto"/>
        <w:jc w:val="center"/>
      </w:pPr>
      <w:r>
        <w:t xml:space="preserve">Date </w:t>
      </w:r>
      <w:r>
        <w:br w:type="page"/>
      </w:r>
    </w:p>
    <w:p w:rsidR="00580FA2" w:rsidRDefault="00580FA2" w:rsidP="00580FA2">
      <w:pPr>
        <w:spacing w:line="480" w:lineRule="auto"/>
        <w:jc w:val="center"/>
      </w:pPr>
      <w:r>
        <w:lastRenderedPageBreak/>
        <w:t>Plight of Immigrants in the United States (1877-1911)</w:t>
      </w:r>
    </w:p>
    <w:p w:rsidR="00580FA2" w:rsidRDefault="00580FA2" w:rsidP="00041CE4">
      <w:pPr>
        <w:spacing w:line="480" w:lineRule="auto"/>
        <w:ind w:firstLine="720"/>
      </w:pPr>
      <w:r>
        <w:t>The onset of industrialization in the United States authenticated a need for cheap labor. Workers from all across the globe, including the Americas, Asia, and Europe, moved to the United States and contributed to a diverse workforce, with distinctive religious, linguistic, and cultural backgrounds. There arose big business that was supported by pluck and ingenuity from these immigrants, which led to unimagined efficiencies. However, the natives of the United States saw the influx of immigrants differently. It was a treat to their skill and autonomy and a danger to the country’s democratic institutions. Despite their contribution to industrial growth in the United States, the immigrants became victims of capitalist manipulation from the natives. They encountered both good and bad experiences in their quest for a better life. There was a consensus that America could be disorienting, liberating, and disappointing. This claim can be seen in their daily life encounters, as narrated by Antanas Kaztauskis and the passage of the Chinese Exclusion Act prohibiting the entry of Chinese laborers into the United States in 1882.</w:t>
      </w:r>
    </w:p>
    <w:p w:rsidR="00580FA2" w:rsidRDefault="00580FA2" w:rsidP="00041CE4">
      <w:pPr>
        <w:spacing w:line="480" w:lineRule="auto"/>
        <w:ind w:firstLine="720"/>
      </w:pPr>
      <w:r>
        <w:t>Immigrants sought entry into the United States by the prospect of a better life than the one they had in their home country. However, the reality of experience in the U.S. dimmed their initial optimism. Eventually, some of them found stability and made a fortune. One example is Andrew Carnegie, who had left Scotland as a poor 12-year old boy in pursuit of wealth. He secured employment as an errand boy in the railroad in Pennsylvania. Within a few months, he rose in the managerial ladder and started an iron manufacturing plant in 1865</w:t>
      </w:r>
      <w:r w:rsidR="00675703">
        <w:rPr>
          <w:rStyle w:val="FootnoteReference"/>
        </w:rPr>
        <w:footnoteReference w:id="1"/>
      </w:r>
      <w:r>
        <w:t>. Most immigrants were driven by the harsh economic conditions in their countries to leave for the United States.</w:t>
      </w:r>
    </w:p>
    <w:p w:rsidR="00580FA2" w:rsidRDefault="00580FA2" w:rsidP="00041CE4">
      <w:pPr>
        <w:spacing w:line="480" w:lineRule="auto"/>
        <w:ind w:firstLine="720"/>
      </w:pPr>
      <w:r>
        <w:t>The experiences of the immigrants were both liberating and disappointing. They were liberating in the sense that some of the immigrants could uplift their financial status, as exemplified by Andrew Carnegie. However, it was not very pleasant for others, as seen in the workers’ experiences in Carnegie’s mill. At first, they earned good wages and had a strong labor union. The machinery’s emergency allowed industries to replace skilled laborers, and they decided that collective bargaining was too expensive. As a result, the members of the Labor unions were blocked from working in the Homestead mills. They would be accepted on the condition that they quit their membership in the unions and sign individual contracts. While the corporations that emerged developed new careers and white-collar jobs for managers and other U.S. natives, the laborers, including the immigrants and African Americans, were subjected to frequent job loss, health hazards, and low pay</w:t>
      </w:r>
      <w:r w:rsidR="00675703">
        <w:rPr>
          <w:rStyle w:val="FootnoteReference"/>
        </w:rPr>
        <w:footnoteReference w:id="2"/>
      </w:r>
      <w:r>
        <w:t>. Such experiences by the immigrants dimmed the optimism that they had when they left their home countries.</w:t>
      </w:r>
    </w:p>
    <w:p w:rsidR="00580FA2" w:rsidRDefault="00580FA2" w:rsidP="00580FA2">
      <w:pPr>
        <w:spacing w:line="480" w:lineRule="auto"/>
      </w:pPr>
      <w:r>
        <w:t xml:space="preserve"> </w:t>
      </w:r>
      <w:r w:rsidR="000B6B16">
        <w:tab/>
      </w:r>
      <w:r>
        <w:t>The experiences of Antanas Kaztauskis upon entry into the United States was a reflection of the millions of immigrants from both Europe and Asia. After arriving, Kaztauskis and his friends woke up at five o’clock in the morning and went to look for a job. It was barely accessible for any of them, and as they approached a big slaughterhouse, they saw a crowd of men waiting to be recruited as laborers. The men looked hungry and unkempt. Only 23 of them were picked while the rest turned their face away, looking tired. Besides, they could barely interact with many people in the country as they spoke no English. The immigrants had to pay to be employed in the firms, as seen in Kaztauskis’ payment of five dollars to secure a job in the slaughterhouse. It dawned on Kaztauskis that everything was about making money. They worked from six in the morning to eight in the evening then fail to work the next day. There were no regular work hours, and the work conditions were poor; the room where Kaztauskis worked was hot, and everyone was being pushed to work hard and fast. With the corruption that was rife in the securing of employment, the immigrants would lose jobs within a few weeks; Kaztauskis held his job position for six weeks before losing it.</w:t>
      </w:r>
    </w:p>
    <w:p w:rsidR="00580FA2" w:rsidRDefault="00580FA2" w:rsidP="000B6B16">
      <w:pPr>
        <w:spacing w:line="480" w:lineRule="auto"/>
        <w:ind w:firstLine="720"/>
      </w:pPr>
      <w:r>
        <w:t xml:space="preserve">The situation of the </w:t>
      </w:r>
      <w:r w:rsidR="000B6B16">
        <w:t>i</w:t>
      </w:r>
      <w:r>
        <w:t>mmigrant improved gradually. The American labor unions organized again and lobbied for better conditions. Kaztauskis secured a job in the street in the street cleaning department. He invited a woman from his native country to the United States to start a family. While they were registered to vote, they could only vote as told by their employers; otherwise, they would lose their jobs. The labor union helped them in negotiating for better work conditions. They could not be discharged from working unless a reasonable claim was made, and they did not have to pay to secure jobs. Within three years, over 300,000 of them were registered by the American Federation of Labor. Although the industrialists benefited from the cheap labor offered by the immigrants, resentment developed among the natives</w:t>
      </w:r>
      <w:r w:rsidR="00C97D0F">
        <w:rPr>
          <w:rStyle w:val="FootnoteReference"/>
        </w:rPr>
        <w:footnoteReference w:id="3"/>
      </w:r>
      <w:r>
        <w:t>. They viewed the immigrants as culturally inferior and raised the alarm that they would dilute the American culture and institutions. New immigrants were no longer welcome in the United States.</w:t>
      </w:r>
    </w:p>
    <w:p w:rsidR="00580FA2" w:rsidRDefault="00580FA2" w:rsidP="000B6B16">
      <w:pPr>
        <w:spacing w:line="480" w:lineRule="auto"/>
        <w:ind w:firstLine="720"/>
      </w:pPr>
      <w:r>
        <w:t>In the cartoon displayed in chapter 16, Joseph Keppler depicts the American attitude towards new immigrants. He represents the descendants of the American immigrants blocking new immigrants from Europe. Although they were once immigrants, these successful Americans are formulating restrictions and laws against immigrants. The cartoon displays an ironic situation through the Americans’ hypocritical actions of installing strict rules against immigration, failing to acknowledge that they were also once immigrants</w:t>
      </w:r>
      <w:r w:rsidR="00C97D0F">
        <w:rPr>
          <w:rStyle w:val="FootnoteReference"/>
        </w:rPr>
        <w:footnoteReference w:id="4"/>
      </w:r>
      <w:r>
        <w:t>. This is reflected in the passage of the Chinese Exclusion Act.</w:t>
      </w:r>
    </w:p>
    <w:p w:rsidR="00580FA2" w:rsidRDefault="00580FA2" w:rsidP="000B6B16">
      <w:pPr>
        <w:spacing w:line="480" w:lineRule="auto"/>
        <w:ind w:firstLine="720"/>
      </w:pPr>
      <w:r>
        <w:t>The American natives, who struggled to secure employment or survive on the ones they had, blamed their plight on the increased number of immigrants. The Chinese immigrants in the railroad and mining industries on the West Coast were victims of the nativist resentment. This culminated in the enactment of an act in 1882 that excluded entry of Chinese natives into the United States. The opinion of the U.S. government was that the entry of Chinese laborers endangered the good of the Americans</w:t>
      </w:r>
      <w:r w:rsidR="00E157E5">
        <w:rPr>
          <w:rStyle w:val="FootnoteReference"/>
        </w:rPr>
        <w:footnoteReference w:id="5"/>
      </w:r>
      <w:r>
        <w:t>. The Chinese people were continually called Chinese laborers in the act as it was construed to denote the laborers and the Chinese workers employed in the mining industries.</w:t>
      </w:r>
    </w:p>
    <w:p w:rsidR="00F82F21" w:rsidRDefault="00580FA2" w:rsidP="00813930">
      <w:pPr>
        <w:spacing w:line="480" w:lineRule="auto"/>
        <w:ind w:firstLine="720"/>
      </w:pPr>
      <w:r>
        <w:t>Apparently, the immigrants were disoriented, liberated, disappointed in their experience of life in the United States. They were subjected to harsh working conditions including low pay, irregular work hours, and being unreasonably laid off. The emergence of labor unions liberated them and helped them attain job security and bargain for improved wages.  The American natives began resenting them and saw them as a threat to their culture and job securities. This authenticated the enactment of the Chinese Exclusion Act that prohibited laborers and Chinese workers from entering the United States.</w:t>
      </w:r>
    </w:p>
    <w:p w:rsidR="00C97D0F" w:rsidRDefault="00C97D0F">
      <w:r>
        <w:br w:type="page"/>
      </w:r>
    </w:p>
    <w:p w:rsidR="00675703" w:rsidRDefault="00675703" w:rsidP="00C97D0F">
      <w:pPr>
        <w:spacing w:line="480" w:lineRule="auto"/>
        <w:jc w:val="center"/>
      </w:pPr>
      <w:r>
        <w:t>Bibliography</w:t>
      </w:r>
    </w:p>
    <w:p w:rsidR="00675703" w:rsidRPr="00580FA2" w:rsidRDefault="00675703" w:rsidP="00675703">
      <w:pPr>
        <w:spacing w:line="480" w:lineRule="auto"/>
      </w:pPr>
      <w:r>
        <w:t>Edwards, Rebecca et. al. America's History Vol. 2 Since 1865 9th ed. Boston: Bedford St. Martin’s Press, 2018.</w:t>
      </w:r>
    </w:p>
    <w:sectPr w:rsidR="00675703" w:rsidRPr="00580FA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710" w:rsidRDefault="00390710" w:rsidP="0067076A">
      <w:pPr>
        <w:spacing w:after="0" w:line="240" w:lineRule="auto"/>
      </w:pPr>
      <w:r>
        <w:separator/>
      </w:r>
    </w:p>
  </w:endnote>
  <w:endnote w:type="continuationSeparator" w:id="0">
    <w:p w:rsidR="00390710" w:rsidRDefault="00390710" w:rsidP="00670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710" w:rsidRDefault="00390710" w:rsidP="0067076A">
      <w:pPr>
        <w:spacing w:after="0" w:line="240" w:lineRule="auto"/>
      </w:pPr>
      <w:r>
        <w:separator/>
      </w:r>
    </w:p>
  </w:footnote>
  <w:footnote w:type="continuationSeparator" w:id="0">
    <w:p w:rsidR="00390710" w:rsidRDefault="00390710" w:rsidP="0067076A">
      <w:pPr>
        <w:spacing w:after="0" w:line="240" w:lineRule="auto"/>
      </w:pPr>
      <w:r>
        <w:continuationSeparator/>
      </w:r>
    </w:p>
  </w:footnote>
  <w:footnote w:id="1">
    <w:p w:rsidR="00675703" w:rsidRDefault="00675703">
      <w:pPr>
        <w:pStyle w:val="FootnoteText"/>
      </w:pPr>
      <w:r w:rsidRPr="00675703">
        <w:rPr>
          <w:rStyle w:val="FootnoteReference"/>
          <w:vertAlign w:val="baseline"/>
        </w:rPr>
        <w:footnoteRef/>
      </w:r>
      <w:r w:rsidRPr="00675703">
        <w:t xml:space="preserve"> </w:t>
      </w:r>
      <w:r>
        <w:t>Rebecca Edwards et. al., America’s History Vol 2. Since 1865. 9th ed. (Boston: Bedford St. Martin’s Press, 2018).</w:t>
      </w:r>
    </w:p>
  </w:footnote>
  <w:footnote w:id="2">
    <w:p w:rsidR="00675703" w:rsidRDefault="00675703">
      <w:pPr>
        <w:pStyle w:val="FootnoteText"/>
      </w:pPr>
      <w:r w:rsidRPr="00675703">
        <w:rPr>
          <w:rStyle w:val="FootnoteReference"/>
          <w:vertAlign w:val="baseline"/>
        </w:rPr>
        <w:footnoteRef/>
      </w:r>
      <w:r>
        <w:t xml:space="preserve"> Rebecca Edwards et. al., America’s History Vol 2. Since 1865. 9th ed. (Boston: Bedford St. Martin’s Press, 2018).</w:t>
      </w:r>
    </w:p>
  </w:footnote>
  <w:footnote w:id="3">
    <w:p w:rsidR="00C97D0F" w:rsidRDefault="00C97D0F">
      <w:pPr>
        <w:pStyle w:val="FootnoteText"/>
      </w:pPr>
      <w:r w:rsidRPr="00382C85">
        <w:rPr>
          <w:rStyle w:val="FootnoteReference"/>
          <w:vertAlign w:val="baseline"/>
        </w:rPr>
        <w:footnoteRef/>
      </w:r>
      <w:r>
        <w:t xml:space="preserve"> Rebecca Edwards et. al., America’s History Vol 2. Since 1865. 9th ed. (Boston: Bedford St. Martin’s Press, 2018).</w:t>
      </w:r>
    </w:p>
  </w:footnote>
  <w:footnote w:id="4">
    <w:p w:rsidR="00C97D0F" w:rsidRDefault="00C97D0F">
      <w:pPr>
        <w:pStyle w:val="FootnoteText"/>
      </w:pPr>
      <w:r w:rsidRPr="00E157E5">
        <w:rPr>
          <w:rStyle w:val="FootnoteReference"/>
          <w:vertAlign w:val="baseline"/>
        </w:rPr>
        <w:footnoteRef/>
      </w:r>
      <w:r>
        <w:t xml:space="preserve"> Rebecca Edwards et. al., America’s History Vol 2. Since 1865. 9th ed. (Boston: Bedford St. Martin’s Press, 2018).</w:t>
      </w:r>
    </w:p>
  </w:footnote>
  <w:footnote w:id="5">
    <w:p w:rsidR="00E157E5" w:rsidRDefault="00E157E5">
      <w:pPr>
        <w:pStyle w:val="FootnoteText"/>
      </w:pPr>
      <w:r w:rsidRPr="00E157E5">
        <w:rPr>
          <w:rStyle w:val="FootnoteReference"/>
          <w:vertAlign w:val="baseline"/>
        </w:rPr>
        <w:footnoteRef/>
      </w:r>
      <w:r w:rsidRPr="00E157E5">
        <w:t xml:space="preserve"> </w:t>
      </w:r>
      <w:r>
        <w:t>Edwards ed., America’s History, 459.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8601625"/>
      <w:docPartObj>
        <w:docPartGallery w:val="Page Numbers (Top of Page)"/>
        <w:docPartUnique/>
      </w:docPartObj>
    </w:sdtPr>
    <w:sdtEndPr>
      <w:rPr>
        <w:noProof/>
      </w:rPr>
    </w:sdtEndPr>
    <w:sdtContent>
      <w:p w:rsidR="00CD1F2A" w:rsidRDefault="00CD1F2A">
        <w:pPr>
          <w:pStyle w:val="Header"/>
          <w:jc w:val="right"/>
        </w:pPr>
        <w:r>
          <w:fldChar w:fldCharType="begin"/>
        </w:r>
        <w:r>
          <w:instrText xml:space="preserve"> PAGE   \* MERGEFORMAT </w:instrText>
        </w:r>
        <w:r>
          <w:fldChar w:fldCharType="separate"/>
        </w:r>
        <w:r w:rsidR="00390710">
          <w:rPr>
            <w:noProof/>
          </w:rPr>
          <w:t>1</w:t>
        </w:r>
        <w:r>
          <w:rPr>
            <w:noProof/>
          </w:rPr>
          <w:fldChar w:fldCharType="end"/>
        </w:r>
      </w:p>
    </w:sdtContent>
  </w:sdt>
  <w:p w:rsidR="00CD1F2A" w:rsidRDefault="00CD1F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2BF"/>
    <w:rsid w:val="00002334"/>
    <w:rsid w:val="00041CE4"/>
    <w:rsid w:val="00063C4E"/>
    <w:rsid w:val="00066546"/>
    <w:rsid w:val="000B045E"/>
    <w:rsid w:val="000B6B16"/>
    <w:rsid w:val="000C1CD4"/>
    <w:rsid w:val="000D2FB9"/>
    <w:rsid w:val="000F6C64"/>
    <w:rsid w:val="00134F11"/>
    <w:rsid w:val="001371DB"/>
    <w:rsid w:val="00154F09"/>
    <w:rsid w:val="00181622"/>
    <w:rsid w:val="00233CDA"/>
    <w:rsid w:val="002418F8"/>
    <w:rsid w:val="00245E90"/>
    <w:rsid w:val="0029553E"/>
    <w:rsid w:val="002C00F9"/>
    <w:rsid w:val="002F23A4"/>
    <w:rsid w:val="002F6C42"/>
    <w:rsid w:val="00340190"/>
    <w:rsid w:val="00356B81"/>
    <w:rsid w:val="00362CD6"/>
    <w:rsid w:val="00382C85"/>
    <w:rsid w:val="00390710"/>
    <w:rsid w:val="004463B4"/>
    <w:rsid w:val="00453BF2"/>
    <w:rsid w:val="00472C08"/>
    <w:rsid w:val="004E4040"/>
    <w:rsid w:val="004F2766"/>
    <w:rsid w:val="00506554"/>
    <w:rsid w:val="005374A5"/>
    <w:rsid w:val="00580FA2"/>
    <w:rsid w:val="005C2792"/>
    <w:rsid w:val="006421C9"/>
    <w:rsid w:val="0065298B"/>
    <w:rsid w:val="0067076A"/>
    <w:rsid w:val="00675703"/>
    <w:rsid w:val="00682D5C"/>
    <w:rsid w:val="006A7201"/>
    <w:rsid w:val="0071665D"/>
    <w:rsid w:val="00721377"/>
    <w:rsid w:val="0077403E"/>
    <w:rsid w:val="00777521"/>
    <w:rsid w:val="007A04AC"/>
    <w:rsid w:val="007A451C"/>
    <w:rsid w:val="007B4AD5"/>
    <w:rsid w:val="007C5FB6"/>
    <w:rsid w:val="007E43A4"/>
    <w:rsid w:val="00813930"/>
    <w:rsid w:val="0084003B"/>
    <w:rsid w:val="00843E57"/>
    <w:rsid w:val="008A453E"/>
    <w:rsid w:val="00901620"/>
    <w:rsid w:val="009401AB"/>
    <w:rsid w:val="009437DA"/>
    <w:rsid w:val="009840B5"/>
    <w:rsid w:val="00A07154"/>
    <w:rsid w:val="00A12119"/>
    <w:rsid w:val="00AB006C"/>
    <w:rsid w:val="00AB2230"/>
    <w:rsid w:val="00AD0C3D"/>
    <w:rsid w:val="00AD476B"/>
    <w:rsid w:val="00AF2B2D"/>
    <w:rsid w:val="00B57F66"/>
    <w:rsid w:val="00B84756"/>
    <w:rsid w:val="00BC176F"/>
    <w:rsid w:val="00BC5B14"/>
    <w:rsid w:val="00C97D0F"/>
    <w:rsid w:val="00CD1F2A"/>
    <w:rsid w:val="00D820B9"/>
    <w:rsid w:val="00D922BF"/>
    <w:rsid w:val="00DD0F68"/>
    <w:rsid w:val="00DD372A"/>
    <w:rsid w:val="00DE2C9C"/>
    <w:rsid w:val="00DF481F"/>
    <w:rsid w:val="00E157E5"/>
    <w:rsid w:val="00E92E53"/>
    <w:rsid w:val="00E95D19"/>
    <w:rsid w:val="00EA1987"/>
    <w:rsid w:val="00EE1AFF"/>
    <w:rsid w:val="00F35397"/>
    <w:rsid w:val="00F82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76A"/>
  </w:style>
  <w:style w:type="paragraph" w:styleId="Footer">
    <w:name w:val="footer"/>
    <w:basedOn w:val="Normal"/>
    <w:link w:val="FooterChar"/>
    <w:uiPriority w:val="99"/>
    <w:unhideWhenUsed/>
    <w:rsid w:val="00670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76A"/>
  </w:style>
  <w:style w:type="paragraph" w:styleId="FootnoteText">
    <w:name w:val="footnote text"/>
    <w:basedOn w:val="Normal"/>
    <w:link w:val="FootnoteTextChar"/>
    <w:uiPriority w:val="99"/>
    <w:semiHidden/>
    <w:unhideWhenUsed/>
    <w:rsid w:val="006757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5703"/>
    <w:rPr>
      <w:sz w:val="20"/>
      <w:szCs w:val="20"/>
    </w:rPr>
  </w:style>
  <w:style w:type="character" w:styleId="FootnoteReference">
    <w:name w:val="footnote reference"/>
    <w:basedOn w:val="DefaultParagraphFont"/>
    <w:uiPriority w:val="99"/>
    <w:semiHidden/>
    <w:unhideWhenUsed/>
    <w:rsid w:val="0067570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76A"/>
  </w:style>
  <w:style w:type="paragraph" w:styleId="Footer">
    <w:name w:val="footer"/>
    <w:basedOn w:val="Normal"/>
    <w:link w:val="FooterChar"/>
    <w:uiPriority w:val="99"/>
    <w:unhideWhenUsed/>
    <w:rsid w:val="00670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76A"/>
  </w:style>
  <w:style w:type="paragraph" w:styleId="FootnoteText">
    <w:name w:val="footnote text"/>
    <w:basedOn w:val="Normal"/>
    <w:link w:val="FootnoteTextChar"/>
    <w:uiPriority w:val="99"/>
    <w:semiHidden/>
    <w:unhideWhenUsed/>
    <w:rsid w:val="006757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5703"/>
    <w:rPr>
      <w:sz w:val="20"/>
      <w:szCs w:val="20"/>
    </w:rPr>
  </w:style>
  <w:style w:type="character" w:styleId="FootnoteReference">
    <w:name w:val="footnote reference"/>
    <w:basedOn w:val="DefaultParagraphFont"/>
    <w:uiPriority w:val="99"/>
    <w:semiHidden/>
    <w:unhideWhenUsed/>
    <w:rsid w:val="006757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0FF00E6-801C-4797-A018-06B4BD7EA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1082</Words>
  <Characters>6172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2020-05-31T14:23:00Z</dcterms:created>
  <dcterms:modified xsi:type="dcterms:W3CDTF">2020-05-31T14:23:00Z</dcterms:modified>
</cp:coreProperties>
</file>