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36F" w:rsidRPr="00595BD5" w:rsidRDefault="0002336F" w:rsidP="00595BD5">
      <w:pPr>
        <w:spacing w:line="480" w:lineRule="auto"/>
        <w:jc w:val="both"/>
        <w:rPr>
          <w:rFonts w:ascii="Times New Roman" w:hAnsi="Times New Roman" w:cs="Times New Roman"/>
          <w:sz w:val="24"/>
          <w:szCs w:val="24"/>
        </w:rPr>
      </w:pPr>
      <w:bookmarkStart w:id="0" w:name="_GoBack"/>
      <w:bookmarkEnd w:id="0"/>
    </w:p>
    <w:p w:rsidR="0002336F" w:rsidRPr="00595BD5" w:rsidRDefault="0002336F" w:rsidP="00595BD5">
      <w:pPr>
        <w:spacing w:line="480" w:lineRule="auto"/>
        <w:jc w:val="both"/>
        <w:rPr>
          <w:rFonts w:ascii="Times New Roman" w:hAnsi="Times New Roman" w:cs="Times New Roman"/>
          <w:sz w:val="24"/>
          <w:szCs w:val="24"/>
        </w:rPr>
      </w:pPr>
    </w:p>
    <w:p w:rsidR="0002336F" w:rsidRPr="00595BD5" w:rsidRDefault="0002336F" w:rsidP="00595BD5">
      <w:pPr>
        <w:spacing w:line="480" w:lineRule="auto"/>
        <w:jc w:val="both"/>
        <w:rPr>
          <w:rFonts w:ascii="Times New Roman" w:hAnsi="Times New Roman" w:cs="Times New Roman"/>
          <w:sz w:val="24"/>
          <w:szCs w:val="24"/>
        </w:rPr>
      </w:pPr>
    </w:p>
    <w:p w:rsidR="0002336F" w:rsidRPr="00595BD5" w:rsidRDefault="0002336F" w:rsidP="00595BD5">
      <w:pPr>
        <w:spacing w:line="480" w:lineRule="auto"/>
        <w:jc w:val="both"/>
        <w:rPr>
          <w:rFonts w:ascii="Times New Roman" w:hAnsi="Times New Roman" w:cs="Times New Roman"/>
          <w:sz w:val="24"/>
          <w:szCs w:val="24"/>
        </w:rPr>
      </w:pPr>
    </w:p>
    <w:p w:rsidR="0002336F" w:rsidRPr="00595BD5" w:rsidRDefault="0002336F" w:rsidP="00595BD5">
      <w:pPr>
        <w:spacing w:line="480" w:lineRule="auto"/>
        <w:jc w:val="both"/>
        <w:rPr>
          <w:rFonts w:ascii="Times New Roman" w:hAnsi="Times New Roman" w:cs="Times New Roman"/>
          <w:sz w:val="24"/>
          <w:szCs w:val="24"/>
        </w:rPr>
      </w:pPr>
    </w:p>
    <w:p w:rsidR="009D2670" w:rsidRPr="00595BD5" w:rsidRDefault="009D2670" w:rsidP="00595BD5">
      <w:pPr>
        <w:spacing w:line="480" w:lineRule="auto"/>
        <w:jc w:val="center"/>
        <w:rPr>
          <w:rFonts w:ascii="Times New Roman" w:hAnsi="Times New Roman" w:cs="Times New Roman"/>
          <w:sz w:val="24"/>
          <w:szCs w:val="24"/>
        </w:rPr>
      </w:pPr>
      <w:r w:rsidRPr="00595BD5">
        <w:rPr>
          <w:rFonts w:ascii="Times New Roman" w:hAnsi="Times New Roman" w:cs="Times New Roman"/>
          <w:sz w:val="24"/>
          <w:szCs w:val="24"/>
        </w:rPr>
        <w:t>Immunodeficiency</w:t>
      </w:r>
    </w:p>
    <w:p w:rsidR="009D2670" w:rsidRPr="00595BD5" w:rsidRDefault="009D2670" w:rsidP="00595BD5">
      <w:pPr>
        <w:spacing w:line="480" w:lineRule="auto"/>
        <w:jc w:val="center"/>
        <w:rPr>
          <w:rFonts w:ascii="Times New Roman" w:hAnsi="Times New Roman" w:cs="Times New Roman"/>
          <w:sz w:val="24"/>
          <w:szCs w:val="24"/>
        </w:rPr>
      </w:pPr>
      <w:r w:rsidRPr="00595BD5">
        <w:rPr>
          <w:rFonts w:ascii="Times New Roman" w:hAnsi="Times New Roman" w:cs="Times New Roman"/>
          <w:sz w:val="24"/>
          <w:szCs w:val="24"/>
        </w:rPr>
        <w:t>Student’s Name:</w:t>
      </w:r>
    </w:p>
    <w:p w:rsidR="009D2670" w:rsidRPr="00595BD5" w:rsidRDefault="009D2670" w:rsidP="00595BD5">
      <w:pPr>
        <w:spacing w:line="480" w:lineRule="auto"/>
        <w:jc w:val="center"/>
        <w:rPr>
          <w:rFonts w:ascii="Times New Roman" w:hAnsi="Times New Roman" w:cs="Times New Roman"/>
          <w:sz w:val="24"/>
          <w:szCs w:val="24"/>
        </w:rPr>
      </w:pPr>
      <w:r w:rsidRPr="00595BD5">
        <w:rPr>
          <w:rFonts w:ascii="Times New Roman" w:hAnsi="Times New Roman" w:cs="Times New Roman"/>
          <w:sz w:val="24"/>
          <w:szCs w:val="24"/>
        </w:rPr>
        <w:t>University’s Affiliation:</w:t>
      </w:r>
    </w:p>
    <w:p w:rsidR="0002336F" w:rsidRPr="00595BD5" w:rsidRDefault="0002336F" w:rsidP="00595BD5">
      <w:pPr>
        <w:spacing w:line="480" w:lineRule="auto"/>
        <w:jc w:val="both"/>
        <w:rPr>
          <w:rFonts w:ascii="Times New Roman" w:hAnsi="Times New Roman" w:cs="Times New Roman"/>
          <w:sz w:val="24"/>
          <w:szCs w:val="24"/>
        </w:rPr>
      </w:pPr>
    </w:p>
    <w:p w:rsidR="0002336F" w:rsidRPr="00595BD5" w:rsidRDefault="0002336F" w:rsidP="00595BD5">
      <w:pPr>
        <w:spacing w:line="480" w:lineRule="auto"/>
        <w:jc w:val="both"/>
        <w:rPr>
          <w:rFonts w:ascii="Times New Roman" w:hAnsi="Times New Roman" w:cs="Times New Roman"/>
          <w:sz w:val="24"/>
          <w:szCs w:val="24"/>
        </w:rPr>
      </w:pPr>
    </w:p>
    <w:p w:rsidR="0002336F" w:rsidRPr="00595BD5" w:rsidRDefault="0002336F" w:rsidP="00595BD5">
      <w:pPr>
        <w:spacing w:line="480" w:lineRule="auto"/>
        <w:jc w:val="both"/>
        <w:rPr>
          <w:rFonts w:ascii="Times New Roman" w:hAnsi="Times New Roman" w:cs="Times New Roman"/>
          <w:sz w:val="24"/>
          <w:szCs w:val="24"/>
        </w:rPr>
      </w:pPr>
    </w:p>
    <w:p w:rsidR="0002336F" w:rsidRPr="00595BD5" w:rsidRDefault="0002336F" w:rsidP="00595BD5">
      <w:pPr>
        <w:spacing w:line="480" w:lineRule="auto"/>
        <w:jc w:val="both"/>
        <w:rPr>
          <w:rFonts w:ascii="Times New Roman" w:hAnsi="Times New Roman" w:cs="Times New Roman"/>
          <w:sz w:val="24"/>
          <w:szCs w:val="24"/>
        </w:rPr>
      </w:pPr>
    </w:p>
    <w:p w:rsidR="0002336F" w:rsidRPr="00595BD5" w:rsidRDefault="0002336F" w:rsidP="00595BD5">
      <w:pPr>
        <w:spacing w:line="480" w:lineRule="auto"/>
        <w:jc w:val="both"/>
        <w:rPr>
          <w:rFonts w:ascii="Times New Roman" w:hAnsi="Times New Roman" w:cs="Times New Roman"/>
          <w:sz w:val="24"/>
          <w:szCs w:val="24"/>
        </w:rPr>
      </w:pPr>
    </w:p>
    <w:p w:rsidR="0002336F" w:rsidRPr="00595BD5" w:rsidRDefault="0002336F" w:rsidP="00595BD5">
      <w:pPr>
        <w:spacing w:line="480" w:lineRule="auto"/>
        <w:jc w:val="both"/>
        <w:rPr>
          <w:rFonts w:ascii="Times New Roman" w:hAnsi="Times New Roman" w:cs="Times New Roman"/>
          <w:sz w:val="24"/>
          <w:szCs w:val="24"/>
        </w:rPr>
      </w:pPr>
    </w:p>
    <w:p w:rsidR="0002336F" w:rsidRPr="00595BD5" w:rsidRDefault="0002336F" w:rsidP="00595BD5">
      <w:pPr>
        <w:spacing w:line="480" w:lineRule="auto"/>
        <w:jc w:val="both"/>
        <w:rPr>
          <w:rFonts w:ascii="Times New Roman" w:hAnsi="Times New Roman" w:cs="Times New Roman"/>
          <w:sz w:val="24"/>
          <w:szCs w:val="24"/>
        </w:rPr>
      </w:pPr>
    </w:p>
    <w:p w:rsidR="0002336F" w:rsidRPr="00595BD5" w:rsidRDefault="0002336F" w:rsidP="00595BD5">
      <w:pPr>
        <w:spacing w:line="480" w:lineRule="auto"/>
        <w:jc w:val="both"/>
        <w:rPr>
          <w:rFonts w:ascii="Times New Roman" w:hAnsi="Times New Roman" w:cs="Times New Roman"/>
          <w:sz w:val="24"/>
          <w:szCs w:val="24"/>
        </w:rPr>
      </w:pPr>
    </w:p>
    <w:p w:rsidR="0002336F" w:rsidRPr="00595BD5" w:rsidRDefault="0002336F" w:rsidP="00595BD5">
      <w:pPr>
        <w:spacing w:line="480" w:lineRule="auto"/>
        <w:jc w:val="both"/>
        <w:rPr>
          <w:rFonts w:ascii="Times New Roman" w:hAnsi="Times New Roman" w:cs="Times New Roman"/>
          <w:sz w:val="24"/>
          <w:szCs w:val="24"/>
        </w:rPr>
      </w:pPr>
    </w:p>
    <w:p w:rsidR="0064545E" w:rsidRPr="00595BD5" w:rsidRDefault="00595BD5" w:rsidP="00595BD5">
      <w:pPr>
        <w:pStyle w:val="NormalWeb"/>
        <w:shd w:val="clear" w:color="auto" w:fill="FFFFFF"/>
        <w:spacing w:before="120" w:after="120" w:line="480" w:lineRule="auto"/>
        <w:jc w:val="center"/>
        <w:rPr>
          <w:rFonts w:eastAsiaTheme="minorHAnsi"/>
          <w:lang w:eastAsia="en-US"/>
        </w:rPr>
      </w:pPr>
      <w:r w:rsidRPr="00595BD5">
        <w:rPr>
          <w:rFonts w:eastAsiaTheme="minorHAnsi"/>
          <w:lang w:eastAsia="en-US"/>
        </w:rPr>
        <w:lastRenderedPageBreak/>
        <w:t>IMMUNODEFICIENCY</w:t>
      </w:r>
    </w:p>
    <w:p w:rsidR="0064545E" w:rsidRPr="00595BD5" w:rsidRDefault="0064545E" w:rsidP="00595BD5">
      <w:pPr>
        <w:pStyle w:val="NormalWeb"/>
        <w:shd w:val="clear" w:color="auto" w:fill="FFFFFF"/>
        <w:spacing w:before="120" w:after="120" w:line="480" w:lineRule="auto"/>
        <w:jc w:val="center"/>
        <w:rPr>
          <w:rFonts w:eastAsiaTheme="minorHAnsi"/>
          <w:lang w:eastAsia="en-US"/>
        </w:rPr>
      </w:pPr>
      <w:r w:rsidRPr="00595BD5">
        <w:rPr>
          <w:rFonts w:eastAsiaTheme="minorHAnsi"/>
          <w:lang w:eastAsia="en-US"/>
        </w:rPr>
        <w:t>1.     X- linked Agammaglobulinemia</w:t>
      </w:r>
    </w:p>
    <w:p w:rsidR="0064545E" w:rsidRPr="00595BD5" w:rsidRDefault="0064545E" w:rsidP="00595BD5">
      <w:pPr>
        <w:pStyle w:val="NormalWeb"/>
        <w:shd w:val="clear" w:color="auto" w:fill="FFFFFF"/>
        <w:spacing w:before="120" w:after="120" w:line="480" w:lineRule="auto"/>
        <w:ind w:firstLine="720"/>
        <w:jc w:val="both"/>
        <w:rPr>
          <w:rFonts w:eastAsiaTheme="minorHAnsi"/>
          <w:lang w:eastAsia="en-US"/>
        </w:rPr>
      </w:pPr>
      <w:r w:rsidRPr="00595BD5">
        <w:rPr>
          <w:rFonts w:eastAsiaTheme="minorHAnsi"/>
          <w:lang w:eastAsia="en-US"/>
        </w:rPr>
        <w:t>This immunodeficiency disease is characteristic of the low level of white cells, proteins that are produced by the immune systems to help the body fight infections. The disease is genetically inherited and mostly affects boys than girls</w:t>
      </w:r>
      <w:r w:rsidR="00FC2F88" w:rsidRPr="00595BD5">
        <w:rPr>
          <w:color w:val="222222"/>
          <w:shd w:val="clear" w:color="auto" w:fill="FFFFFF"/>
        </w:rPr>
        <w:t xml:space="preserve"> (Suri, Rawat, &amp; Singh, 2016)</w:t>
      </w:r>
      <w:r w:rsidRPr="00595BD5">
        <w:rPr>
          <w:rFonts w:eastAsiaTheme="minorHAnsi"/>
          <w:lang w:eastAsia="en-US"/>
        </w:rPr>
        <w:t>.   The problem results from the insertion the Bruton tyrosine kinase, located in the X chromosome in males. People suffering from the disease show develop never- recurrent and frequent bacterial infections. The symptoms start as early as the first six months of infancy. The infections associated with X - linked Agammaglobulinemia include middle ear infections, lung infections, skin infections, sinus infections, and chronic diarrhea</w:t>
      </w:r>
      <w:r w:rsidR="00FC2F88" w:rsidRPr="00595BD5">
        <w:rPr>
          <w:rFonts w:eastAsiaTheme="minorHAnsi"/>
          <w:lang w:eastAsia="en-US"/>
        </w:rPr>
        <w:t xml:space="preserve"> </w:t>
      </w:r>
      <w:r w:rsidR="00FC2F88" w:rsidRPr="00595BD5">
        <w:rPr>
          <w:color w:val="222222"/>
          <w:shd w:val="clear" w:color="auto" w:fill="FFFFFF"/>
        </w:rPr>
        <w:t>(Suri, Rawat, &amp; Singh, 2016)</w:t>
      </w:r>
      <w:r w:rsidRPr="00595BD5">
        <w:rPr>
          <w:rFonts w:eastAsiaTheme="minorHAnsi"/>
          <w:lang w:eastAsia="en-US"/>
        </w:rPr>
        <w:t>. The treatment of the disease purposes to improve the body immune system of the patients. The diagnosis involves the administering of immunoglobulins for mild cases and the use of antibiotics for frequent infections.</w:t>
      </w:r>
    </w:p>
    <w:p w:rsidR="0064545E" w:rsidRPr="00595BD5" w:rsidRDefault="0064545E" w:rsidP="00595BD5">
      <w:pPr>
        <w:pStyle w:val="NormalWeb"/>
        <w:shd w:val="clear" w:color="auto" w:fill="FFFFFF"/>
        <w:spacing w:before="120" w:after="120" w:line="480" w:lineRule="auto"/>
        <w:jc w:val="center"/>
        <w:rPr>
          <w:rFonts w:eastAsiaTheme="minorHAnsi"/>
          <w:lang w:eastAsia="en-US"/>
        </w:rPr>
      </w:pPr>
      <w:r w:rsidRPr="00595BD5">
        <w:rPr>
          <w:rFonts w:eastAsiaTheme="minorHAnsi"/>
          <w:lang w:eastAsia="en-US"/>
        </w:rPr>
        <w:t>2.     Autosomal Hyper IgM Immunodeficiency</w:t>
      </w:r>
    </w:p>
    <w:p w:rsidR="0064545E" w:rsidRPr="00595BD5" w:rsidRDefault="0064545E" w:rsidP="00595BD5">
      <w:pPr>
        <w:pStyle w:val="NormalWeb"/>
        <w:shd w:val="clear" w:color="auto" w:fill="FFFFFF"/>
        <w:spacing w:before="120" w:after="120" w:line="480" w:lineRule="auto"/>
        <w:ind w:firstLine="720"/>
        <w:jc w:val="both"/>
        <w:rPr>
          <w:rFonts w:eastAsiaTheme="minorHAnsi"/>
          <w:lang w:eastAsia="en-US"/>
        </w:rPr>
      </w:pPr>
      <w:r w:rsidRPr="00595BD5">
        <w:rPr>
          <w:rFonts w:eastAsiaTheme="minorHAnsi"/>
          <w:lang w:eastAsia="en-US"/>
        </w:rPr>
        <w:t>The autosomal Hyper IgM Immunodeficiency falls under four categories according to the affected cells</w:t>
      </w:r>
      <w:r w:rsidR="00352587" w:rsidRPr="00595BD5">
        <w:rPr>
          <w:color w:val="222222"/>
          <w:shd w:val="clear" w:color="auto" w:fill="FFFFFF"/>
        </w:rPr>
        <w:t xml:space="preserve"> (Leven, et al., 2016)</w:t>
      </w:r>
      <w:r w:rsidRPr="00595BD5">
        <w:rPr>
          <w:rFonts w:eastAsiaTheme="minorHAnsi"/>
          <w:lang w:eastAsia="en-US"/>
        </w:rPr>
        <w:t>. The Hyper IgM syndrome type 1 result from the mutation in CD4OLG gene. The second type results from the mutation of AICFDA genes. The third type of X-linked hyper IgM syndrome is a result of mutation in the CD40 gene and the last type develops because of mutation in the UNG gene. People suffering from the disease portray distinctive symptoms depending on the affected cells</w:t>
      </w:r>
      <w:r w:rsidR="00352587" w:rsidRPr="00595BD5">
        <w:rPr>
          <w:rFonts w:eastAsiaTheme="minorHAnsi"/>
          <w:lang w:eastAsia="en-US"/>
        </w:rPr>
        <w:t xml:space="preserve"> </w:t>
      </w:r>
      <w:r w:rsidR="00352587" w:rsidRPr="00595BD5">
        <w:rPr>
          <w:color w:val="222222"/>
          <w:shd w:val="clear" w:color="auto" w:fill="FFFFFF"/>
        </w:rPr>
        <w:t>(Leven, et al., 2016)</w:t>
      </w:r>
      <w:r w:rsidRPr="00595BD5">
        <w:rPr>
          <w:rFonts w:eastAsiaTheme="minorHAnsi"/>
          <w:lang w:eastAsia="en-US"/>
        </w:rPr>
        <w:t xml:space="preserve">. For instance, patients of Hyper IgM syndrome type 1suffer from recurrent pus- producing infections which are </w:t>
      </w:r>
      <w:r w:rsidRPr="00595BD5">
        <w:rPr>
          <w:rFonts w:eastAsiaTheme="minorHAnsi"/>
          <w:lang w:eastAsia="en-US"/>
        </w:rPr>
        <w:lastRenderedPageBreak/>
        <w:t>bacterial. The infections may affect the lungs, middle ear, ear canal, and the eye (eyelids and the sclera). The symptoms manifest in the first or the second year of infancy</w:t>
      </w:r>
      <w:r w:rsidR="00352587" w:rsidRPr="00595BD5">
        <w:rPr>
          <w:rFonts w:eastAsiaTheme="minorHAnsi"/>
          <w:lang w:eastAsia="en-US"/>
        </w:rPr>
        <w:t xml:space="preserve"> </w:t>
      </w:r>
      <w:r w:rsidR="00352587" w:rsidRPr="00595BD5">
        <w:rPr>
          <w:color w:val="222222"/>
          <w:shd w:val="clear" w:color="auto" w:fill="FFFFFF"/>
        </w:rPr>
        <w:t>(Leven, et al., 2016)</w:t>
      </w:r>
      <w:r w:rsidRPr="00595BD5">
        <w:rPr>
          <w:rFonts w:eastAsiaTheme="minorHAnsi"/>
          <w:lang w:eastAsia="en-US"/>
        </w:rPr>
        <w:t>. The affected are treated with antibiotics and genetic counseling done to prevent future health inconveniences.</w:t>
      </w:r>
    </w:p>
    <w:p w:rsidR="0064545E" w:rsidRPr="00595BD5" w:rsidRDefault="0064545E" w:rsidP="00595BD5">
      <w:pPr>
        <w:pStyle w:val="NormalWeb"/>
        <w:shd w:val="clear" w:color="auto" w:fill="FFFFFF"/>
        <w:spacing w:before="120" w:after="120" w:line="480" w:lineRule="auto"/>
        <w:jc w:val="center"/>
        <w:rPr>
          <w:rFonts w:eastAsiaTheme="minorHAnsi"/>
          <w:lang w:eastAsia="en-US"/>
        </w:rPr>
      </w:pPr>
      <w:r w:rsidRPr="00595BD5">
        <w:rPr>
          <w:rFonts w:eastAsiaTheme="minorHAnsi"/>
          <w:lang w:eastAsia="en-US"/>
        </w:rPr>
        <w:t>3.     X- Linked Hyper IgM Immunodeficiency</w:t>
      </w:r>
    </w:p>
    <w:p w:rsidR="0064545E" w:rsidRPr="00595BD5" w:rsidRDefault="0064545E" w:rsidP="00595BD5">
      <w:pPr>
        <w:pStyle w:val="NormalWeb"/>
        <w:shd w:val="clear" w:color="auto" w:fill="FFFFFF"/>
        <w:spacing w:before="120" w:after="120" w:line="480" w:lineRule="auto"/>
        <w:ind w:firstLine="720"/>
        <w:jc w:val="both"/>
        <w:rPr>
          <w:rFonts w:eastAsiaTheme="minorHAnsi"/>
          <w:lang w:eastAsia="en-US"/>
        </w:rPr>
      </w:pPr>
      <w:r w:rsidRPr="00595BD5">
        <w:rPr>
          <w:rFonts w:eastAsiaTheme="minorHAnsi"/>
          <w:lang w:eastAsia="en-US"/>
        </w:rPr>
        <w:t>The disease is caused by abnormal levels of immunoglobulin or antibodies, proteins that constitute the immune system of the body</w:t>
      </w:r>
      <w:r w:rsidR="00FC2F88" w:rsidRPr="00595BD5">
        <w:rPr>
          <w:color w:val="222222"/>
          <w:shd w:val="clear" w:color="auto" w:fill="FFFFFF"/>
        </w:rPr>
        <w:t xml:space="preserve"> (Gallagher, et al., 2016)</w:t>
      </w:r>
      <w:r w:rsidRPr="00595BD5">
        <w:rPr>
          <w:rFonts w:eastAsiaTheme="minorHAnsi"/>
          <w:lang w:eastAsia="en-US"/>
        </w:rPr>
        <w:t>. People with this condition suffer from brain and spinal cord infections, gastrointestinal tumors, and liver disease. Also, the affected people may develop lymphoma, the cancer of the cells of the immune system. The condition is caused by duplicate mutation because the gene found in the X chromosome in males doubles</w:t>
      </w:r>
      <w:r w:rsidR="00FC2F88" w:rsidRPr="00595BD5">
        <w:rPr>
          <w:rFonts w:eastAsiaTheme="minorHAnsi"/>
          <w:lang w:eastAsia="en-US"/>
        </w:rPr>
        <w:t xml:space="preserve"> </w:t>
      </w:r>
      <w:r w:rsidR="00FC2F88" w:rsidRPr="00595BD5">
        <w:rPr>
          <w:color w:val="222222"/>
          <w:shd w:val="clear" w:color="auto" w:fill="FFFFFF"/>
        </w:rPr>
        <w:t>(Gallagher, et al., 2016)</w:t>
      </w:r>
      <w:r w:rsidRPr="00595BD5">
        <w:rPr>
          <w:rFonts w:eastAsiaTheme="minorHAnsi"/>
          <w:lang w:eastAsia="en-US"/>
        </w:rPr>
        <w:t>. The males suffer from this disease more than females because for the female to suffer the condition mutation has to occur in the two X chromosomes. People with the condition have low levels of neutrophils, white blood cells. The symptoms for the condition include sinus, pneumonia, and ear affections which are recurrent. The symptoms appear in early childhood stage</w:t>
      </w:r>
      <w:r w:rsidR="00FC2F88" w:rsidRPr="00595BD5">
        <w:rPr>
          <w:rFonts w:eastAsiaTheme="minorHAnsi"/>
          <w:lang w:eastAsia="en-US"/>
        </w:rPr>
        <w:t xml:space="preserve"> </w:t>
      </w:r>
      <w:r w:rsidR="00FC2F88" w:rsidRPr="00595BD5">
        <w:rPr>
          <w:color w:val="222222"/>
          <w:shd w:val="clear" w:color="auto" w:fill="FFFFFF"/>
        </w:rPr>
        <w:t>(Gallagher, et al., 2016)</w:t>
      </w:r>
      <w:r w:rsidRPr="00595BD5">
        <w:rPr>
          <w:rFonts w:eastAsiaTheme="minorHAnsi"/>
          <w:lang w:eastAsia="en-US"/>
        </w:rPr>
        <w:t>. Another symptom is that the children who suffer the condition do not gain weight and experience retarded growth. The treatment of the disease is through antibiotics.</w:t>
      </w:r>
    </w:p>
    <w:p w:rsidR="0064545E" w:rsidRPr="00595BD5" w:rsidRDefault="0064545E" w:rsidP="00595BD5">
      <w:pPr>
        <w:pStyle w:val="NormalWeb"/>
        <w:shd w:val="clear" w:color="auto" w:fill="FFFFFF"/>
        <w:spacing w:before="120" w:after="120" w:line="480" w:lineRule="auto"/>
        <w:jc w:val="center"/>
        <w:rPr>
          <w:rFonts w:eastAsiaTheme="minorHAnsi"/>
          <w:lang w:eastAsia="en-US"/>
        </w:rPr>
      </w:pPr>
      <w:r w:rsidRPr="00595BD5">
        <w:rPr>
          <w:rFonts w:eastAsiaTheme="minorHAnsi"/>
          <w:lang w:eastAsia="en-US"/>
        </w:rPr>
        <w:t>4.     What things do the self/ Non- Self (SNS) model of immunity have in common with the Danger Model?</w:t>
      </w:r>
    </w:p>
    <w:p w:rsidR="0064545E" w:rsidRPr="00595BD5" w:rsidRDefault="0064545E" w:rsidP="00595BD5">
      <w:pPr>
        <w:pStyle w:val="NormalWeb"/>
        <w:shd w:val="clear" w:color="auto" w:fill="FFFFFF"/>
        <w:spacing w:before="120" w:after="120" w:line="480" w:lineRule="auto"/>
        <w:ind w:firstLine="720"/>
        <w:jc w:val="both"/>
        <w:rPr>
          <w:rFonts w:eastAsiaTheme="minorHAnsi"/>
          <w:lang w:eastAsia="en-US"/>
        </w:rPr>
      </w:pPr>
      <w:r w:rsidRPr="00595BD5">
        <w:rPr>
          <w:rFonts w:eastAsiaTheme="minorHAnsi"/>
          <w:lang w:eastAsia="en-US"/>
        </w:rPr>
        <w:t xml:space="preserve">The SNS and the Danger Model are similar in that both models categorize antigens into two sets i.e. the self and the non- self-antigens. The two sets of antigens are either harmful or </w:t>
      </w:r>
      <w:r w:rsidRPr="00595BD5">
        <w:rPr>
          <w:rFonts w:eastAsiaTheme="minorHAnsi"/>
          <w:lang w:eastAsia="en-US"/>
        </w:rPr>
        <w:lastRenderedPageBreak/>
        <w:t>harmless to the human body. In the Danger model, the harmful antigens are those that can cause the death of a body cell</w:t>
      </w:r>
      <w:r w:rsidR="009C1954" w:rsidRPr="00595BD5">
        <w:rPr>
          <w:rFonts w:eastAsiaTheme="minorHAnsi"/>
          <w:lang w:eastAsia="en-US"/>
        </w:rPr>
        <w:t xml:space="preserve"> </w:t>
      </w:r>
      <w:r w:rsidR="009C1954" w:rsidRPr="00595BD5">
        <w:rPr>
          <w:color w:val="222222"/>
          <w:shd w:val="clear" w:color="auto" w:fill="FFFFFF"/>
        </w:rPr>
        <w:t>(Garg, &amp; Agostinis, 2017)</w:t>
      </w:r>
      <w:r w:rsidRPr="00595BD5">
        <w:rPr>
          <w:rFonts w:eastAsiaTheme="minorHAnsi"/>
          <w:lang w:eastAsia="en-US"/>
        </w:rPr>
        <w:t>. The non- self and include pathogens, toxins, etc. However, dangerous self- entities include cell or gene mutations. The harmful antigens may cause non- physiological cell death or induce stress.</w:t>
      </w:r>
    </w:p>
    <w:p w:rsidR="0064545E" w:rsidRPr="00595BD5" w:rsidRDefault="0064545E" w:rsidP="00595BD5">
      <w:pPr>
        <w:pStyle w:val="NormalWeb"/>
        <w:shd w:val="clear" w:color="auto" w:fill="FFFFFF"/>
        <w:spacing w:before="120" w:after="120" w:line="480" w:lineRule="auto"/>
        <w:jc w:val="center"/>
        <w:rPr>
          <w:rFonts w:eastAsiaTheme="minorHAnsi"/>
          <w:lang w:eastAsia="en-US"/>
        </w:rPr>
      </w:pPr>
      <w:r w:rsidRPr="00595BD5">
        <w:rPr>
          <w:rFonts w:eastAsiaTheme="minorHAnsi"/>
          <w:lang w:eastAsia="en-US"/>
        </w:rPr>
        <w:t>5.     How does the Danger Model differ from the SNS model?</w:t>
      </w:r>
    </w:p>
    <w:p w:rsidR="0064545E" w:rsidRPr="00595BD5" w:rsidRDefault="0064545E" w:rsidP="00595BD5">
      <w:pPr>
        <w:pStyle w:val="NormalWeb"/>
        <w:shd w:val="clear" w:color="auto" w:fill="FFFFFF"/>
        <w:spacing w:before="120" w:after="120" w:line="480" w:lineRule="auto"/>
        <w:ind w:firstLine="720"/>
        <w:jc w:val="both"/>
        <w:rPr>
          <w:rFonts w:eastAsiaTheme="minorHAnsi"/>
          <w:lang w:eastAsia="en-US"/>
        </w:rPr>
      </w:pPr>
      <w:r w:rsidRPr="00595BD5">
        <w:rPr>
          <w:rFonts w:eastAsiaTheme="minorHAnsi"/>
          <w:lang w:eastAsia="en-US"/>
        </w:rPr>
        <w:t>The Danger Model holds that the immune system is not selective of the self and the non- self-antigens. However, the immune system differentiates the harmful and the harmless antigens. The dangerous entities in the body are damaged by the white blood cells while harmless are not. On the contrary, the SNS Model asserts that the immune system is capable of differentiating self and non- self-antigens</w:t>
      </w:r>
      <w:r w:rsidR="009C1954" w:rsidRPr="00595BD5">
        <w:rPr>
          <w:color w:val="222222"/>
          <w:shd w:val="clear" w:color="auto" w:fill="FFFFFF"/>
        </w:rPr>
        <w:t xml:space="preserve"> (Pacheco-Tena, &amp; González-Chávez, 2015)</w:t>
      </w:r>
      <w:r w:rsidRPr="00595BD5">
        <w:rPr>
          <w:rFonts w:eastAsiaTheme="minorHAnsi"/>
          <w:lang w:eastAsia="en-US"/>
        </w:rPr>
        <w:t xml:space="preserve">. The self-antigens are tolerable while the non- self-antigens are damaged. According to the proponents of the theory, B lymphocyte recognizes foreign materials and become active. Then, the CD4 and the T helper cell assist the B lymphocyte. </w:t>
      </w:r>
    </w:p>
    <w:p w:rsidR="0064545E" w:rsidRPr="00595BD5" w:rsidRDefault="003504D7" w:rsidP="00595BD5">
      <w:pPr>
        <w:pStyle w:val="NormalWeb"/>
        <w:shd w:val="clear" w:color="auto" w:fill="FFFFFF"/>
        <w:spacing w:before="120" w:after="120" w:line="480" w:lineRule="auto"/>
        <w:jc w:val="center"/>
        <w:rPr>
          <w:rFonts w:eastAsiaTheme="minorHAnsi"/>
          <w:lang w:eastAsia="en-US"/>
        </w:rPr>
      </w:pPr>
      <w:r>
        <w:rPr>
          <w:rFonts w:eastAsiaTheme="minorHAnsi"/>
          <w:lang w:eastAsia="en-US"/>
        </w:rPr>
        <w:t>Qn. 7</w:t>
      </w:r>
      <w:r w:rsidR="0064545E" w:rsidRPr="00595BD5">
        <w:rPr>
          <w:rFonts w:eastAsiaTheme="minorHAnsi"/>
          <w:lang w:eastAsia="en-US"/>
        </w:rPr>
        <w:t xml:space="preserve">     Describe Ehrlich’s side-chain theory</w:t>
      </w:r>
    </w:p>
    <w:p w:rsidR="0064545E" w:rsidRPr="00595BD5" w:rsidRDefault="0064545E" w:rsidP="00595BD5">
      <w:pPr>
        <w:pStyle w:val="NormalWeb"/>
        <w:shd w:val="clear" w:color="auto" w:fill="FFFFFF"/>
        <w:spacing w:before="120" w:after="120" w:line="480" w:lineRule="auto"/>
        <w:ind w:firstLine="720"/>
        <w:jc w:val="both"/>
        <w:rPr>
          <w:rFonts w:eastAsiaTheme="minorHAnsi"/>
          <w:lang w:eastAsia="en-US"/>
        </w:rPr>
      </w:pPr>
      <w:r w:rsidRPr="00595BD5">
        <w:rPr>
          <w:rFonts w:eastAsiaTheme="minorHAnsi"/>
          <w:lang w:eastAsia="en-US"/>
        </w:rPr>
        <w:t>The side-chain theory explains how the immune system responds to antigens. According to Ehrlich there are chemical reactions that take place during infections</w:t>
      </w:r>
      <w:r w:rsidR="000B744B" w:rsidRPr="00595BD5">
        <w:rPr>
          <w:color w:val="222222"/>
          <w:shd w:val="clear" w:color="auto" w:fill="FFFFFF"/>
        </w:rPr>
        <w:t xml:space="preserve"> (Kurosaki, 2016)</w:t>
      </w:r>
      <w:r w:rsidRPr="00595BD5">
        <w:rPr>
          <w:rFonts w:eastAsiaTheme="minorHAnsi"/>
          <w:lang w:eastAsia="en-US"/>
        </w:rPr>
        <w:t>. When the theorists developed the theory he held that chemical substances in the body included toxins and antitoxins and they provoked the immune system to initiate chemical reactions to counteract any harmfulness. The theory explains the relationship between antigens and antibodies and the formation of the latter.</w:t>
      </w:r>
    </w:p>
    <w:p w:rsidR="0064545E" w:rsidRPr="00595BD5" w:rsidRDefault="003504D7" w:rsidP="00595BD5">
      <w:pPr>
        <w:pStyle w:val="NormalWeb"/>
        <w:shd w:val="clear" w:color="auto" w:fill="FFFFFF"/>
        <w:spacing w:before="120" w:after="120" w:line="480" w:lineRule="auto"/>
        <w:jc w:val="center"/>
        <w:rPr>
          <w:rFonts w:eastAsiaTheme="minorHAnsi"/>
          <w:lang w:eastAsia="en-US"/>
        </w:rPr>
      </w:pPr>
      <w:r>
        <w:rPr>
          <w:rFonts w:eastAsiaTheme="minorHAnsi"/>
          <w:lang w:eastAsia="en-US"/>
        </w:rPr>
        <w:t>Qn. 8</w:t>
      </w:r>
      <w:r w:rsidR="0064545E" w:rsidRPr="00595BD5">
        <w:rPr>
          <w:rFonts w:eastAsiaTheme="minorHAnsi"/>
          <w:lang w:eastAsia="en-US"/>
        </w:rPr>
        <w:t xml:space="preserve">     How was Ehrlich’s side-chain theory incorporated into the Clonal Selection Theory?</w:t>
      </w:r>
    </w:p>
    <w:p w:rsidR="00F428D9" w:rsidRPr="00595BD5" w:rsidRDefault="0064545E" w:rsidP="00595BD5">
      <w:pPr>
        <w:pStyle w:val="NormalWeb"/>
        <w:shd w:val="clear" w:color="auto" w:fill="FFFFFF"/>
        <w:spacing w:before="120" w:beforeAutospacing="0" w:after="120" w:afterAutospacing="0" w:line="480" w:lineRule="auto"/>
        <w:ind w:firstLine="720"/>
        <w:jc w:val="both"/>
        <w:rPr>
          <w:rFonts w:eastAsiaTheme="minorHAnsi"/>
          <w:lang w:eastAsia="en-US"/>
        </w:rPr>
      </w:pPr>
      <w:r w:rsidRPr="00595BD5">
        <w:rPr>
          <w:rFonts w:eastAsiaTheme="minorHAnsi"/>
          <w:lang w:eastAsia="en-US"/>
        </w:rPr>
        <w:lastRenderedPageBreak/>
        <w:t>The Clonal Selection Theory scientifically explains the work of the lymphocytes during the fight against disease-causing antigens in the body. The theory was developed by Burnet to explain how the antibodies form during the start of the immune system response</w:t>
      </w:r>
      <w:r w:rsidR="000B744B" w:rsidRPr="00595BD5">
        <w:rPr>
          <w:color w:val="222222"/>
          <w:shd w:val="clear" w:color="auto" w:fill="FFFFFF"/>
        </w:rPr>
        <w:t xml:space="preserve"> (Hodgkin, 2018)</w:t>
      </w:r>
      <w:r w:rsidRPr="00595BD5">
        <w:rPr>
          <w:rFonts w:eastAsiaTheme="minorHAnsi"/>
          <w:lang w:eastAsia="en-US"/>
        </w:rPr>
        <w:t>. Later, the theory was accepted as a scientific way of explaining the relationship between antigens causing harm in the body and the antigens. The Clonal Selection theory borrowed some concepts of the Ehrlich’s side-chain theory, such as the formation of the antibodies. Therefore, side-chain theory helped in the development of the Clonal selection theory because it set the bases for the explanation of different concepts that pertain to immune response.</w:t>
      </w:r>
    </w:p>
    <w:p w:rsidR="00595BD5" w:rsidRDefault="00595BD5" w:rsidP="00595BD5">
      <w:pPr>
        <w:pStyle w:val="NormalWeb"/>
        <w:shd w:val="clear" w:color="auto" w:fill="FFFFFF"/>
        <w:spacing w:before="120" w:beforeAutospacing="0" w:after="120" w:afterAutospacing="0" w:line="480" w:lineRule="auto"/>
        <w:jc w:val="both"/>
        <w:rPr>
          <w:rFonts w:eastAsiaTheme="minorHAnsi"/>
          <w:lang w:eastAsia="en-US"/>
        </w:rPr>
      </w:pPr>
    </w:p>
    <w:p w:rsidR="00595BD5" w:rsidRDefault="00595BD5" w:rsidP="00595BD5">
      <w:pPr>
        <w:pStyle w:val="NormalWeb"/>
        <w:shd w:val="clear" w:color="auto" w:fill="FFFFFF"/>
        <w:spacing w:before="120" w:beforeAutospacing="0" w:after="120" w:afterAutospacing="0" w:line="480" w:lineRule="auto"/>
        <w:jc w:val="both"/>
        <w:rPr>
          <w:rFonts w:eastAsiaTheme="minorHAnsi"/>
          <w:lang w:eastAsia="en-US"/>
        </w:rPr>
      </w:pPr>
    </w:p>
    <w:p w:rsidR="00595BD5" w:rsidRDefault="00595BD5" w:rsidP="00595BD5">
      <w:pPr>
        <w:pStyle w:val="NormalWeb"/>
        <w:shd w:val="clear" w:color="auto" w:fill="FFFFFF"/>
        <w:spacing w:before="120" w:beforeAutospacing="0" w:after="120" w:afterAutospacing="0" w:line="480" w:lineRule="auto"/>
        <w:jc w:val="both"/>
        <w:rPr>
          <w:rFonts w:eastAsiaTheme="minorHAnsi"/>
          <w:lang w:eastAsia="en-US"/>
        </w:rPr>
      </w:pPr>
    </w:p>
    <w:p w:rsidR="00595BD5" w:rsidRDefault="00595BD5" w:rsidP="00595BD5">
      <w:pPr>
        <w:pStyle w:val="NormalWeb"/>
        <w:shd w:val="clear" w:color="auto" w:fill="FFFFFF"/>
        <w:spacing w:before="120" w:beforeAutospacing="0" w:after="120" w:afterAutospacing="0" w:line="480" w:lineRule="auto"/>
        <w:jc w:val="both"/>
        <w:rPr>
          <w:rFonts w:eastAsiaTheme="minorHAnsi"/>
          <w:lang w:eastAsia="en-US"/>
        </w:rPr>
      </w:pPr>
    </w:p>
    <w:p w:rsidR="00595BD5" w:rsidRDefault="00595BD5" w:rsidP="00595BD5">
      <w:pPr>
        <w:pStyle w:val="NormalWeb"/>
        <w:shd w:val="clear" w:color="auto" w:fill="FFFFFF"/>
        <w:spacing w:before="120" w:beforeAutospacing="0" w:after="120" w:afterAutospacing="0" w:line="480" w:lineRule="auto"/>
        <w:jc w:val="both"/>
        <w:rPr>
          <w:rFonts w:eastAsiaTheme="minorHAnsi"/>
          <w:lang w:eastAsia="en-US"/>
        </w:rPr>
      </w:pPr>
    </w:p>
    <w:p w:rsidR="00595BD5" w:rsidRDefault="00595BD5" w:rsidP="00595BD5">
      <w:pPr>
        <w:pStyle w:val="NormalWeb"/>
        <w:shd w:val="clear" w:color="auto" w:fill="FFFFFF"/>
        <w:spacing w:before="120" w:beforeAutospacing="0" w:after="120" w:afterAutospacing="0" w:line="480" w:lineRule="auto"/>
        <w:jc w:val="both"/>
        <w:rPr>
          <w:rFonts w:eastAsiaTheme="minorHAnsi"/>
          <w:lang w:eastAsia="en-US"/>
        </w:rPr>
      </w:pPr>
    </w:p>
    <w:p w:rsidR="00595BD5" w:rsidRDefault="00595BD5" w:rsidP="00595BD5">
      <w:pPr>
        <w:pStyle w:val="NormalWeb"/>
        <w:shd w:val="clear" w:color="auto" w:fill="FFFFFF"/>
        <w:spacing w:before="120" w:beforeAutospacing="0" w:after="120" w:afterAutospacing="0" w:line="480" w:lineRule="auto"/>
        <w:jc w:val="both"/>
        <w:rPr>
          <w:rFonts w:eastAsiaTheme="minorHAnsi"/>
          <w:lang w:eastAsia="en-US"/>
        </w:rPr>
      </w:pPr>
    </w:p>
    <w:p w:rsidR="00595BD5" w:rsidRDefault="00595BD5" w:rsidP="00595BD5">
      <w:pPr>
        <w:pStyle w:val="NormalWeb"/>
        <w:shd w:val="clear" w:color="auto" w:fill="FFFFFF"/>
        <w:spacing w:before="120" w:beforeAutospacing="0" w:after="120" w:afterAutospacing="0" w:line="480" w:lineRule="auto"/>
        <w:jc w:val="both"/>
        <w:rPr>
          <w:rFonts w:eastAsiaTheme="minorHAnsi"/>
          <w:lang w:eastAsia="en-US"/>
        </w:rPr>
      </w:pPr>
    </w:p>
    <w:p w:rsidR="00595BD5" w:rsidRDefault="00595BD5" w:rsidP="00595BD5">
      <w:pPr>
        <w:pStyle w:val="NormalWeb"/>
        <w:shd w:val="clear" w:color="auto" w:fill="FFFFFF"/>
        <w:spacing w:before="120" w:beforeAutospacing="0" w:after="120" w:afterAutospacing="0" w:line="480" w:lineRule="auto"/>
        <w:jc w:val="both"/>
        <w:rPr>
          <w:rFonts w:eastAsiaTheme="minorHAnsi"/>
          <w:lang w:eastAsia="en-US"/>
        </w:rPr>
      </w:pPr>
    </w:p>
    <w:p w:rsidR="00595BD5" w:rsidRDefault="00595BD5" w:rsidP="00595BD5">
      <w:pPr>
        <w:pStyle w:val="NormalWeb"/>
        <w:shd w:val="clear" w:color="auto" w:fill="FFFFFF"/>
        <w:spacing w:before="120" w:beforeAutospacing="0" w:after="120" w:afterAutospacing="0" w:line="480" w:lineRule="auto"/>
        <w:jc w:val="both"/>
        <w:rPr>
          <w:rFonts w:eastAsiaTheme="minorHAnsi"/>
          <w:lang w:eastAsia="en-US"/>
        </w:rPr>
      </w:pPr>
    </w:p>
    <w:p w:rsidR="00595BD5" w:rsidRDefault="00595BD5" w:rsidP="00595BD5">
      <w:pPr>
        <w:pStyle w:val="NormalWeb"/>
        <w:shd w:val="clear" w:color="auto" w:fill="FFFFFF"/>
        <w:spacing w:before="120" w:beforeAutospacing="0" w:after="120" w:afterAutospacing="0" w:line="480" w:lineRule="auto"/>
        <w:jc w:val="both"/>
        <w:rPr>
          <w:rFonts w:eastAsiaTheme="minorHAnsi"/>
          <w:lang w:eastAsia="en-US"/>
        </w:rPr>
      </w:pPr>
    </w:p>
    <w:p w:rsidR="00595BD5" w:rsidRDefault="00595BD5" w:rsidP="00595BD5">
      <w:pPr>
        <w:pStyle w:val="NormalWeb"/>
        <w:shd w:val="clear" w:color="auto" w:fill="FFFFFF"/>
        <w:spacing w:before="120" w:beforeAutospacing="0" w:after="120" w:afterAutospacing="0" w:line="480" w:lineRule="auto"/>
        <w:jc w:val="both"/>
        <w:rPr>
          <w:rFonts w:eastAsiaTheme="minorHAnsi"/>
          <w:lang w:eastAsia="en-US"/>
        </w:rPr>
      </w:pPr>
    </w:p>
    <w:p w:rsidR="00595BD5" w:rsidRDefault="00595BD5" w:rsidP="00595BD5">
      <w:pPr>
        <w:pStyle w:val="NormalWeb"/>
        <w:shd w:val="clear" w:color="auto" w:fill="FFFFFF"/>
        <w:spacing w:before="120" w:beforeAutospacing="0" w:after="120" w:afterAutospacing="0" w:line="480" w:lineRule="auto"/>
        <w:jc w:val="both"/>
        <w:rPr>
          <w:rFonts w:eastAsiaTheme="minorHAnsi"/>
          <w:lang w:eastAsia="en-US"/>
        </w:rPr>
      </w:pPr>
    </w:p>
    <w:p w:rsidR="009C1954" w:rsidRPr="00595BD5" w:rsidRDefault="00595BD5" w:rsidP="00A74C19">
      <w:pPr>
        <w:pStyle w:val="NormalWeb"/>
        <w:shd w:val="clear" w:color="auto" w:fill="FFFFFF"/>
        <w:spacing w:before="120" w:beforeAutospacing="0" w:after="120" w:afterAutospacing="0" w:line="480" w:lineRule="auto"/>
        <w:jc w:val="center"/>
        <w:rPr>
          <w:rFonts w:eastAsiaTheme="minorHAnsi"/>
          <w:lang w:eastAsia="en-US"/>
        </w:rPr>
      </w:pPr>
      <w:r>
        <w:rPr>
          <w:rFonts w:eastAsiaTheme="minorHAnsi"/>
          <w:lang w:eastAsia="en-US"/>
        </w:rPr>
        <w:lastRenderedPageBreak/>
        <w:t>References</w:t>
      </w:r>
    </w:p>
    <w:p w:rsidR="00595BD5" w:rsidRPr="00595BD5" w:rsidRDefault="00595BD5" w:rsidP="00595BD5">
      <w:pPr>
        <w:spacing w:after="0" w:line="480" w:lineRule="auto"/>
        <w:ind w:left="794" w:right="-57" w:hanging="851"/>
        <w:jc w:val="both"/>
        <w:rPr>
          <w:rFonts w:ascii="Times New Roman" w:hAnsi="Times New Roman" w:cs="Times New Roman"/>
          <w:color w:val="222222"/>
          <w:sz w:val="24"/>
          <w:szCs w:val="24"/>
          <w:shd w:val="clear" w:color="auto" w:fill="FFFFFF"/>
        </w:rPr>
      </w:pPr>
      <w:r w:rsidRPr="00595BD5">
        <w:rPr>
          <w:rFonts w:ascii="Times New Roman" w:hAnsi="Times New Roman" w:cs="Times New Roman"/>
          <w:color w:val="222222"/>
          <w:sz w:val="24"/>
          <w:szCs w:val="24"/>
          <w:shd w:val="clear" w:color="auto" w:fill="FFFFFF"/>
        </w:rPr>
        <w:t>Gallagher, J., Adams, J., Hintermeyer, M., Torgerson, T. R., Lopez-Guisa, J., Ochs, H. D., ... &amp; Routes, J. (2016). X-linked hyper IgM syndrome presenting as pulmonary alveolar proteinosis. </w:t>
      </w:r>
      <w:r w:rsidRPr="00595BD5">
        <w:rPr>
          <w:rFonts w:ascii="Times New Roman" w:hAnsi="Times New Roman" w:cs="Times New Roman"/>
          <w:i/>
          <w:iCs/>
          <w:color w:val="222222"/>
          <w:sz w:val="24"/>
          <w:szCs w:val="24"/>
          <w:shd w:val="clear" w:color="auto" w:fill="FFFFFF"/>
        </w:rPr>
        <w:t>Journal of clinical immunology</w:t>
      </w:r>
      <w:r w:rsidRPr="00595BD5">
        <w:rPr>
          <w:rFonts w:ascii="Times New Roman" w:hAnsi="Times New Roman" w:cs="Times New Roman"/>
          <w:color w:val="222222"/>
          <w:sz w:val="24"/>
          <w:szCs w:val="24"/>
          <w:shd w:val="clear" w:color="auto" w:fill="FFFFFF"/>
        </w:rPr>
        <w:t>, </w:t>
      </w:r>
      <w:r w:rsidRPr="00595BD5">
        <w:rPr>
          <w:rFonts w:ascii="Times New Roman" w:hAnsi="Times New Roman" w:cs="Times New Roman"/>
          <w:i/>
          <w:iCs/>
          <w:color w:val="222222"/>
          <w:sz w:val="24"/>
          <w:szCs w:val="24"/>
          <w:shd w:val="clear" w:color="auto" w:fill="FFFFFF"/>
        </w:rPr>
        <w:t>36</w:t>
      </w:r>
      <w:r w:rsidRPr="00595BD5">
        <w:rPr>
          <w:rFonts w:ascii="Times New Roman" w:hAnsi="Times New Roman" w:cs="Times New Roman"/>
          <w:color w:val="222222"/>
          <w:sz w:val="24"/>
          <w:szCs w:val="24"/>
          <w:shd w:val="clear" w:color="auto" w:fill="FFFFFF"/>
        </w:rPr>
        <w:t>(6), 564-570.</w:t>
      </w:r>
    </w:p>
    <w:p w:rsidR="00595BD5" w:rsidRPr="00595BD5" w:rsidRDefault="00595BD5" w:rsidP="00595BD5">
      <w:pPr>
        <w:pStyle w:val="NormalWeb"/>
        <w:shd w:val="clear" w:color="auto" w:fill="FFFFFF"/>
        <w:spacing w:before="0" w:beforeAutospacing="0" w:after="0" w:afterAutospacing="0" w:line="480" w:lineRule="auto"/>
        <w:ind w:left="794" w:right="-57" w:hanging="851"/>
        <w:jc w:val="both"/>
        <w:rPr>
          <w:color w:val="222222"/>
          <w:shd w:val="clear" w:color="auto" w:fill="FFFFFF"/>
        </w:rPr>
      </w:pPr>
      <w:r w:rsidRPr="00595BD5">
        <w:rPr>
          <w:color w:val="222222"/>
          <w:shd w:val="clear" w:color="auto" w:fill="FFFFFF"/>
        </w:rPr>
        <w:t>Garg, A. D., &amp; Agostinis, P. (2017). Cell death and immunity in cancer: from danger signals to mimicry of pathogen defense responses. </w:t>
      </w:r>
      <w:r w:rsidRPr="00595BD5">
        <w:rPr>
          <w:i/>
          <w:iCs/>
          <w:color w:val="222222"/>
          <w:shd w:val="clear" w:color="auto" w:fill="FFFFFF"/>
        </w:rPr>
        <w:t>Immunological reviews</w:t>
      </w:r>
      <w:r w:rsidRPr="00595BD5">
        <w:rPr>
          <w:color w:val="222222"/>
          <w:shd w:val="clear" w:color="auto" w:fill="FFFFFF"/>
        </w:rPr>
        <w:t>, </w:t>
      </w:r>
      <w:r w:rsidRPr="00595BD5">
        <w:rPr>
          <w:i/>
          <w:iCs/>
          <w:color w:val="222222"/>
          <w:shd w:val="clear" w:color="auto" w:fill="FFFFFF"/>
        </w:rPr>
        <w:t>280</w:t>
      </w:r>
      <w:r w:rsidRPr="00595BD5">
        <w:rPr>
          <w:color w:val="222222"/>
          <w:shd w:val="clear" w:color="auto" w:fill="FFFFFF"/>
        </w:rPr>
        <w:t>(1), 126-148.</w:t>
      </w:r>
    </w:p>
    <w:p w:rsidR="00595BD5" w:rsidRPr="00595BD5" w:rsidRDefault="00595BD5" w:rsidP="00595BD5">
      <w:pPr>
        <w:pStyle w:val="NormalWeb"/>
        <w:shd w:val="clear" w:color="auto" w:fill="FFFFFF"/>
        <w:spacing w:before="0" w:beforeAutospacing="0" w:after="0" w:afterAutospacing="0" w:line="480" w:lineRule="auto"/>
        <w:ind w:left="794" w:right="-57" w:hanging="851"/>
        <w:jc w:val="both"/>
        <w:rPr>
          <w:color w:val="222222"/>
          <w:shd w:val="clear" w:color="auto" w:fill="FFFFFF"/>
        </w:rPr>
      </w:pPr>
      <w:r w:rsidRPr="00595BD5">
        <w:rPr>
          <w:color w:val="222222"/>
          <w:shd w:val="clear" w:color="auto" w:fill="FFFFFF"/>
        </w:rPr>
        <w:t>Hodgkin, P. D. (2018). Modifying clonal selection theory with a probabilistic cell. </w:t>
      </w:r>
      <w:r w:rsidRPr="00595BD5">
        <w:rPr>
          <w:i/>
          <w:iCs/>
          <w:color w:val="222222"/>
          <w:shd w:val="clear" w:color="auto" w:fill="FFFFFF"/>
        </w:rPr>
        <w:t>Immunological reviews</w:t>
      </w:r>
      <w:r w:rsidRPr="00595BD5">
        <w:rPr>
          <w:color w:val="222222"/>
          <w:shd w:val="clear" w:color="auto" w:fill="FFFFFF"/>
        </w:rPr>
        <w:t>, </w:t>
      </w:r>
      <w:r w:rsidRPr="00595BD5">
        <w:rPr>
          <w:i/>
          <w:iCs/>
          <w:color w:val="222222"/>
          <w:shd w:val="clear" w:color="auto" w:fill="FFFFFF"/>
        </w:rPr>
        <w:t>285</w:t>
      </w:r>
      <w:r w:rsidRPr="00595BD5">
        <w:rPr>
          <w:color w:val="222222"/>
          <w:shd w:val="clear" w:color="auto" w:fill="FFFFFF"/>
        </w:rPr>
        <w:t>(1), 249-262.</w:t>
      </w:r>
    </w:p>
    <w:p w:rsidR="00595BD5" w:rsidRPr="00595BD5" w:rsidRDefault="00595BD5" w:rsidP="00595BD5">
      <w:pPr>
        <w:pStyle w:val="NormalWeb"/>
        <w:shd w:val="clear" w:color="auto" w:fill="FFFFFF"/>
        <w:spacing w:before="0" w:beforeAutospacing="0" w:after="0" w:afterAutospacing="0" w:line="480" w:lineRule="auto"/>
        <w:ind w:left="794" w:right="-57" w:hanging="851"/>
        <w:jc w:val="both"/>
        <w:rPr>
          <w:color w:val="222222"/>
          <w:shd w:val="clear" w:color="auto" w:fill="FFFFFF"/>
        </w:rPr>
      </w:pPr>
      <w:r w:rsidRPr="00595BD5">
        <w:rPr>
          <w:color w:val="222222"/>
          <w:shd w:val="clear" w:color="auto" w:fill="FFFFFF"/>
        </w:rPr>
        <w:t>Kurosaki, T. (2016). </w:t>
      </w:r>
      <w:r w:rsidRPr="00595BD5">
        <w:rPr>
          <w:i/>
          <w:iCs/>
          <w:color w:val="222222"/>
          <w:shd w:val="clear" w:color="auto" w:fill="FFFFFF"/>
        </w:rPr>
        <w:t>B Cell Receptor Signaling</w:t>
      </w:r>
      <w:r w:rsidRPr="00595BD5">
        <w:rPr>
          <w:color w:val="222222"/>
          <w:shd w:val="clear" w:color="auto" w:fill="FFFFFF"/>
        </w:rPr>
        <w:t>. J. Wienands (Ed.). Springer.</w:t>
      </w:r>
    </w:p>
    <w:p w:rsidR="00595BD5" w:rsidRPr="00595BD5" w:rsidRDefault="00595BD5" w:rsidP="00595BD5">
      <w:pPr>
        <w:spacing w:after="0" w:line="480" w:lineRule="auto"/>
        <w:ind w:left="794" w:right="-57" w:hanging="851"/>
        <w:jc w:val="both"/>
        <w:rPr>
          <w:rFonts w:ascii="Times New Roman" w:hAnsi="Times New Roman" w:cs="Times New Roman"/>
          <w:sz w:val="24"/>
          <w:szCs w:val="24"/>
        </w:rPr>
      </w:pPr>
      <w:r w:rsidRPr="00595BD5">
        <w:rPr>
          <w:rFonts w:ascii="Times New Roman" w:hAnsi="Times New Roman" w:cs="Times New Roman"/>
          <w:color w:val="222222"/>
          <w:sz w:val="24"/>
          <w:szCs w:val="24"/>
          <w:shd w:val="clear" w:color="auto" w:fill="FFFFFF"/>
        </w:rPr>
        <w:t>Leven, E. A., Maffucci, P., Ochs, H. D., Scholl, P. R., Buckley, R. H., Fuleihan, R. L., ... &amp; Ferdman, R. M. (2016). Hyper IgM syndrome: a report from the USIDNET registry. </w:t>
      </w:r>
      <w:r w:rsidRPr="00595BD5">
        <w:rPr>
          <w:rFonts w:ascii="Times New Roman" w:hAnsi="Times New Roman" w:cs="Times New Roman"/>
          <w:i/>
          <w:iCs/>
          <w:color w:val="222222"/>
          <w:sz w:val="24"/>
          <w:szCs w:val="24"/>
          <w:shd w:val="clear" w:color="auto" w:fill="FFFFFF"/>
        </w:rPr>
        <w:t>Journal of clinical immunology</w:t>
      </w:r>
      <w:r w:rsidRPr="00595BD5">
        <w:rPr>
          <w:rFonts w:ascii="Times New Roman" w:hAnsi="Times New Roman" w:cs="Times New Roman"/>
          <w:color w:val="222222"/>
          <w:sz w:val="24"/>
          <w:szCs w:val="24"/>
          <w:shd w:val="clear" w:color="auto" w:fill="FFFFFF"/>
        </w:rPr>
        <w:t>, </w:t>
      </w:r>
      <w:r w:rsidRPr="00595BD5">
        <w:rPr>
          <w:rFonts w:ascii="Times New Roman" w:hAnsi="Times New Roman" w:cs="Times New Roman"/>
          <w:i/>
          <w:iCs/>
          <w:color w:val="222222"/>
          <w:sz w:val="24"/>
          <w:szCs w:val="24"/>
          <w:shd w:val="clear" w:color="auto" w:fill="FFFFFF"/>
        </w:rPr>
        <w:t>36</w:t>
      </w:r>
      <w:r w:rsidRPr="00595BD5">
        <w:rPr>
          <w:rFonts w:ascii="Times New Roman" w:hAnsi="Times New Roman" w:cs="Times New Roman"/>
          <w:color w:val="222222"/>
          <w:sz w:val="24"/>
          <w:szCs w:val="24"/>
          <w:shd w:val="clear" w:color="auto" w:fill="FFFFFF"/>
        </w:rPr>
        <w:t>(5), 490-501.</w:t>
      </w:r>
    </w:p>
    <w:p w:rsidR="00595BD5" w:rsidRPr="00595BD5" w:rsidRDefault="00595BD5" w:rsidP="00595BD5">
      <w:pPr>
        <w:pStyle w:val="NormalWeb"/>
        <w:shd w:val="clear" w:color="auto" w:fill="FFFFFF"/>
        <w:spacing w:before="0" w:beforeAutospacing="0" w:after="0" w:afterAutospacing="0" w:line="480" w:lineRule="auto"/>
        <w:ind w:left="794" w:right="-57" w:hanging="851"/>
        <w:jc w:val="both"/>
        <w:rPr>
          <w:color w:val="222222"/>
          <w:shd w:val="clear" w:color="auto" w:fill="FFFFFF"/>
        </w:rPr>
      </w:pPr>
      <w:r w:rsidRPr="00595BD5">
        <w:rPr>
          <w:color w:val="222222"/>
          <w:shd w:val="clear" w:color="auto" w:fill="FFFFFF"/>
        </w:rPr>
        <w:t>Pacheco-Tena, C., &amp; González-Chávez, S. A. (2015). The danger model approach to the pathogenesis of the rheumatic diseases. </w:t>
      </w:r>
      <w:r w:rsidRPr="00595BD5">
        <w:rPr>
          <w:i/>
          <w:iCs/>
          <w:color w:val="222222"/>
          <w:shd w:val="clear" w:color="auto" w:fill="FFFFFF"/>
        </w:rPr>
        <w:t>Journal of immunology research</w:t>
      </w:r>
      <w:r w:rsidRPr="00595BD5">
        <w:rPr>
          <w:color w:val="222222"/>
          <w:shd w:val="clear" w:color="auto" w:fill="FFFFFF"/>
        </w:rPr>
        <w:t>, </w:t>
      </w:r>
      <w:r w:rsidRPr="00595BD5">
        <w:rPr>
          <w:i/>
          <w:iCs/>
          <w:color w:val="222222"/>
          <w:shd w:val="clear" w:color="auto" w:fill="FFFFFF"/>
        </w:rPr>
        <w:t>2015</w:t>
      </w:r>
      <w:r w:rsidRPr="00595BD5">
        <w:rPr>
          <w:color w:val="222222"/>
          <w:shd w:val="clear" w:color="auto" w:fill="FFFFFF"/>
        </w:rPr>
        <w:t>.</w:t>
      </w:r>
    </w:p>
    <w:p w:rsidR="00595BD5" w:rsidRPr="00595BD5" w:rsidRDefault="00595BD5" w:rsidP="00595BD5">
      <w:pPr>
        <w:spacing w:after="0" w:line="480" w:lineRule="auto"/>
        <w:ind w:left="794" w:right="-57" w:hanging="851"/>
        <w:jc w:val="both"/>
        <w:rPr>
          <w:rFonts w:ascii="Times New Roman" w:hAnsi="Times New Roman" w:cs="Times New Roman"/>
          <w:color w:val="222222"/>
          <w:sz w:val="24"/>
          <w:szCs w:val="24"/>
          <w:shd w:val="clear" w:color="auto" w:fill="FFFFFF"/>
        </w:rPr>
      </w:pPr>
      <w:r w:rsidRPr="00595BD5">
        <w:rPr>
          <w:rFonts w:ascii="Times New Roman" w:hAnsi="Times New Roman" w:cs="Times New Roman"/>
          <w:color w:val="222222"/>
          <w:sz w:val="24"/>
          <w:szCs w:val="24"/>
          <w:shd w:val="clear" w:color="auto" w:fill="FFFFFF"/>
        </w:rPr>
        <w:t>Suri, D., Rawat, A., &amp; Singh, S. (2016). X-linked Agammaglobulinemia. </w:t>
      </w:r>
      <w:r w:rsidRPr="00595BD5">
        <w:rPr>
          <w:rFonts w:ascii="Times New Roman" w:hAnsi="Times New Roman" w:cs="Times New Roman"/>
          <w:i/>
          <w:iCs/>
          <w:color w:val="222222"/>
          <w:sz w:val="24"/>
          <w:szCs w:val="24"/>
          <w:shd w:val="clear" w:color="auto" w:fill="FFFFFF"/>
        </w:rPr>
        <w:t>The Indian Journal of Pediatrics</w:t>
      </w:r>
      <w:r w:rsidRPr="00595BD5">
        <w:rPr>
          <w:rFonts w:ascii="Times New Roman" w:hAnsi="Times New Roman" w:cs="Times New Roman"/>
          <w:color w:val="222222"/>
          <w:sz w:val="24"/>
          <w:szCs w:val="24"/>
          <w:shd w:val="clear" w:color="auto" w:fill="FFFFFF"/>
        </w:rPr>
        <w:t>, </w:t>
      </w:r>
      <w:r w:rsidRPr="00595BD5">
        <w:rPr>
          <w:rFonts w:ascii="Times New Roman" w:hAnsi="Times New Roman" w:cs="Times New Roman"/>
          <w:i/>
          <w:iCs/>
          <w:color w:val="222222"/>
          <w:sz w:val="24"/>
          <w:szCs w:val="24"/>
          <w:shd w:val="clear" w:color="auto" w:fill="FFFFFF"/>
        </w:rPr>
        <w:t>83</w:t>
      </w:r>
      <w:r w:rsidRPr="00595BD5">
        <w:rPr>
          <w:rFonts w:ascii="Times New Roman" w:hAnsi="Times New Roman" w:cs="Times New Roman"/>
          <w:color w:val="222222"/>
          <w:sz w:val="24"/>
          <w:szCs w:val="24"/>
          <w:shd w:val="clear" w:color="auto" w:fill="FFFFFF"/>
        </w:rPr>
        <w:t>(4), 331-337.</w:t>
      </w:r>
    </w:p>
    <w:p w:rsidR="004727B7" w:rsidRPr="00595BD5" w:rsidRDefault="004727B7" w:rsidP="00595BD5">
      <w:pPr>
        <w:spacing w:line="480" w:lineRule="auto"/>
        <w:jc w:val="both"/>
        <w:rPr>
          <w:rFonts w:ascii="Times New Roman" w:hAnsi="Times New Roman" w:cs="Times New Roman"/>
          <w:sz w:val="24"/>
          <w:szCs w:val="24"/>
        </w:rPr>
      </w:pPr>
    </w:p>
    <w:sectPr w:rsidR="004727B7" w:rsidRPr="00595BD5" w:rsidSect="009D2670">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2C42" w:rsidRDefault="009A2C42" w:rsidP="009D2670">
      <w:pPr>
        <w:spacing w:after="0" w:line="240" w:lineRule="auto"/>
      </w:pPr>
      <w:r>
        <w:separator/>
      </w:r>
    </w:p>
  </w:endnote>
  <w:endnote w:type="continuationSeparator" w:id="0">
    <w:p w:rsidR="009A2C42" w:rsidRDefault="009A2C42" w:rsidP="009D2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2C42" w:rsidRDefault="009A2C42" w:rsidP="009D2670">
      <w:pPr>
        <w:spacing w:after="0" w:line="240" w:lineRule="auto"/>
      </w:pPr>
      <w:r>
        <w:separator/>
      </w:r>
    </w:p>
  </w:footnote>
  <w:footnote w:type="continuationSeparator" w:id="0">
    <w:p w:rsidR="009A2C42" w:rsidRDefault="009A2C42" w:rsidP="009D26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2670" w:rsidRPr="009D2670" w:rsidRDefault="009D2670" w:rsidP="009D2670">
    <w:pPr>
      <w:pStyle w:val="Header"/>
      <w:jc w:val="right"/>
      <w:rPr>
        <w:rFonts w:ascii="Times New Roman" w:hAnsi="Times New Roman" w:cs="Times New Roman"/>
        <w:sz w:val="24"/>
        <w:szCs w:val="24"/>
      </w:rPr>
    </w:pPr>
    <w:r w:rsidRPr="009D2670">
      <w:rPr>
        <w:rFonts w:ascii="Times New Roman" w:hAnsi="Times New Roman" w:cs="Times New Roman"/>
        <w:sz w:val="24"/>
        <w:szCs w:val="24"/>
      </w:rPr>
      <w:t>IMMUNODEFICIENC</w:t>
    </w:r>
    <w:r>
      <w:rPr>
        <w:rFonts w:ascii="Times New Roman" w:hAnsi="Times New Roman" w:cs="Times New Roman"/>
        <w:sz w:val="24"/>
        <w:szCs w:val="24"/>
      </w:rPr>
      <w:t xml:space="preserve">Y   </w:t>
    </w:r>
    <w:r w:rsidRPr="009D2670">
      <w:rPr>
        <w:rFonts w:ascii="Times New Roman" w:hAnsi="Times New Roman" w:cs="Times New Roman"/>
        <w:sz w:val="24"/>
        <w:szCs w:val="24"/>
      </w:rPr>
      <w:t xml:space="preserve"> </w:t>
    </w:r>
    <w:sdt>
      <w:sdtPr>
        <w:rPr>
          <w:rFonts w:ascii="Times New Roman" w:hAnsi="Times New Roman" w:cs="Times New Roman"/>
          <w:sz w:val="24"/>
          <w:szCs w:val="24"/>
        </w:rPr>
        <w:id w:val="24683015"/>
        <w:docPartObj>
          <w:docPartGallery w:val="Page Numbers (Top of Page)"/>
          <w:docPartUnique/>
        </w:docPartObj>
      </w:sdtPr>
      <w:sdtEndPr/>
      <w:sdtContent>
        <w:r>
          <w:rPr>
            <w:rFonts w:ascii="Times New Roman" w:hAnsi="Times New Roman" w:cs="Times New Roman"/>
            <w:sz w:val="24"/>
            <w:szCs w:val="24"/>
          </w:rPr>
          <w:t xml:space="preserve">                                                                                                             </w:t>
        </w:r>
        <w:r w:rsidRPr="009D2670">
          <w:rPr>
            <w:rFonts w:ascii="Times New Roman" w:hAnsi="Times New Roman" w:cs="Times New Roman"/>
            <w:sz w:val="24"/>
            <w:szCs w:val="24"/>
          </w:rPr>
          <w:fldChar w:fldCharType="begin"/>
        </w:r>
        <w:r w:rsidRPr="009D2670">
          <w:rPr>
            <w:rFonts w:ascii="Times New Roman" w:hAnsi="Times New Roman" w:cs="Times New Roman"/>
            <w:sz w:val="24"/>
            <w:szCs w:val="24"/>
          </w:rPr>
          <w:instrText xml:space="preserve"> PAGE   \* MERGEFORMAT </w:instrText>
        </w:r>
        <w:r w:rsidRPr="009D2670">
          <w:rPr>
            <w:rFonts w:ascii="Times New Roman" w:hAnsi="Times New Roman" w:cs="Times New Roman"/>
            <w:sz w:val="24"/>
            <w:szCs w:val="24"/>
          </w:rPr>
          <w:fldChar w:fldCharType="separate"/>
        </w:r>
        <w:r w:rsidR="00DD1D05">
          <w:rPr>
            <w:rFonts w:ascii="Times New Roman" w:hAnsi="Times New Roman" w:cs="Times New Roman"/>
            <w:noProof/>
            <w:sz w:val="24"/>
            <w:szCs w:val="24"/>
          </w:rPr>
          <w:t>3</w:t>
        </w:r>
        <w:r w:rsidRPr="009D2670">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2670" w:rsidRPr="009D2670" w:rsidRDefault="009D2670" w:rsidP="009D2670">
    <w:pPr>
      <w:pStyle w:val="Header"/>
      <w:jc w:val="right"/>
      <w:rPr>
        <w:rFonts w:ascii="Times New Roman" w:hAnsi="Times New Roman" w:cs="Times New Roman"/>
        <w:sz w:val="24"/>
        <w:szCs w:val="24"/>
      </w:rPr>
    </w:pPr>
    <w:r w:rsidRPr="009D2670">
      <w:rPr>
        <w:rFonts w:ascii="Times New Roman" w:hAnsi="Times New Roman" w:cs="Times New Roman"/>
        <w:sz w:val="24"/>
        <w:szCs w:val="24"/>
      </w:rPr>
      <w:t>Running Head: IMMUNODEFICIENC</w:t>
    </w:r>
    <w:r>
      <w:rPr>
        <w:rFonts w:ascii="Times New Roman" w:hAnsi="Times New Roman" w:cs="Times New Roman"/>
        <w:sz w:val="24"/>
        <w:szCs w:val="24"/>
      </w:rPr>
      <w:t xml:space="preserve">Y                                                                                      </w:t>
    </w:r>
    <w:r w:rsidRPr="009D2670">
      <w:rPr>
        <w:rFonts w:ascii="Times New Roman" w:hAnsi="Times New Roman" w:cs="Times New Roman"/>
        <w:sz w:val="24"/>
        <w:szCs w:val="24"/>
      </w:rPr>
      <w:t xml:space="preserve"> </w:t>
    </w:r>
    <w:sdt>
      <w:sdtPr>
        <w:rPr>
          <w:rFonts w:ascii="Times New Roman" w:hAnsi="Times New Roman" w:cs="Times New Roman"/>
          <w:sz w:val="24"/>
          <w:szCs w:val="24"/>
        </w:rPr>
        <w:id w:val="24683083"/>
        <w:docPartObj>
          <w:docPartGallery w:val="Page Numbers (Top of Page)"/>
          <w:docPartUnique/>
        </w:docPartObj>
      </w:sdtPr>
      <w:sdtEndPr/>
      <w:sdtContent>
        <w:r w:rsidRPr="009D2670">
          <w:rPr>
            <w:rFonts w:ascii="Times New Roman" w:hAnsi="Times New Roman" w:cs="Times New Roman"/>
            <w:sz w:val="24"/>
            <w:szCs w:val="24"/>
          </w:rPr>
          <w:fldChar w:fldCharType="begin"/>
        </w:r>
        <w:r w:rsidRPr="009D2670">
          <w:rPr>
            <w:rFonts w:ascii="Times New Roman" w:hAnsi="Times New Roman" w:cs="Times New Roman"/>
            <w:sz w:val="24"/>
            <w:szCs w:val="24"/>
          </w:rPr>
          <w:instrText xml:space="preserve"> PAGE   \* MERGEFORMAT </w:instrText>
        </w:r>
        <w:r w:rsidRPr="009D2670">
          <w:rPr>
            <w:rFonts w:ascii="Times New Roman" w:hAnsi="Times New Roman" w:cs="Times New Roman"/>
            <w:sz w:val="24"/>
            <w:szCs w:val="24"/>
          </w:rPr>
          <w:fldChar w:fldCharType="separate"/>
        </w:r>
        <w:r w:rsidR="00DD1D05">
          <w:rPr>
            <w:rFonts w:ascii="Times New Roman" w:hAnsi="Times New Roman" w:cs="Times New Roman"/>
            <w:noProof/>
            <w:sz w:val="24"/>
            <w:szCs w:val="24"/>
          </w:rPr>
          <w:t>1</w:t>
        </w:r>
        <w:r w:rsidRPr="009D2670">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634655"/>
    <w:multiLevelType w:val="hybridMultilevel"/>
    <w:tmpl w:val="1D06F53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63F61364"/>
    <w:multiLevelType w:val="multilevel"/>
    <w:tmpl w:val="0874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7B7"/>
    <w:rsid w:val="0002336F"/>
    <w:rsid w:val="0003194A"/>
    <w:rsid w:val="00060C18"/>
    <w:rsid w:val="000634C2"/>
    <w:rsid w:val="00066F66"/>
    <w:rsid w:val="0007546C"/>
    <w:rsid w:val="000B744B"/>
    <w:rsid w:val="001053B6"/>
    <w:rsid w:val="00107478"/>
    <w:rsid w:val="00120645"/>
    <w:rsid w:val="0014583F"/>
    <w:rsid w:val="00162387"/>
    <w:rsid w:val="0019175C"/>
    <w:rsid w:val="00192469"/>
    <w:rsid w:val="00192ED0"/>
    <w:rsid w:val="001A5D0A"/>
    <w:rsid w:val="002171B3"/>
    <w:rsid w:val="0022056F"/>
    <w:rsid w:val="00232712"/>
    <w:rsid w:val="002A56FF"/>
    <w:rsid w:val="002D4039"/>
    <w:rsid w:val="002F3815"/>
    <w:rsid w:val="003504D7"/>
    <w:rsid w:val="00351A49"/>
    <w:rsid w:val="00352587"/>
    <w:rsid w:val="00365B54"/>
    <w:rsid w:val="00375DF6"/>
    <w:rsid w:val="0038121A"/>
    <w:rsid w:val="003B6362"/>
    <w:rsid w:val="003D470E"/>
    <w:rsid w:val="00410C69"/>
    <w:rsid w:val="00417192"/>
    <w:rsid w:val="0042609F"/>
    <w:rsid w:val="00436A54"/>
    <w:rsid w:val="004546E8"/>
    <w:rsid w:val="004603C9"/>
    <w:rsid w:val="004727B7"/>
    <w:rsid w:val="004E3BFF"/>
    <w:rsid w:val="0050094F"/>
    <w:rsid w:val="00595BD5"/>
    <w:rsid w:val="005C2B0D"/>
    <w:rsid w:val="005F3C77"/>
    <w:rsid w:val="00613D3E"/>
    <w:rsid w:val="006154A7"/>
    <w:rsid w:val="00641F25"/>
    <w:rsid w:val="0064545E"/>
    <w:rsid w:val="0065381C"/>
    <w:rsid w:val="00670E00"/>
    <w:rsid w:val="00675628"/>
    <w:rsid w:val="006808B4"/>
    <w:rsid w:val="006A2BF3"/>
    <w:rsid w:val="006E7B10"/>
    <w:rsid w:val="007218FF"/>
    <w:rsid w:val="007A2843"/>
    <w:rsid w:val="007E5EA2"/>
    <w:rsid w:val="00807BA2"/>
    <w:rsid w:val="0082015E"/>
    <w:rsid w:val="00837159"/>
    <w:rsid w:val="008425E6"/>
    <w:rsid w:val="00864C3A"/>
    <w:rsid w:val="00887823"/>
    <w:rsid w:val="008B3B26"/>
    <w:rsid w:val="008E149C"/>
    <w:rsid w:val="009856FC"/>
    <w:rsid w:val="00985F57"/>
    <w:rsid w:val="009A2C42"/>
    <w:rsid w:val="009A46C5"/>
    <w:rsid w:val="009C1954"/>
    <w:rsid w:val="009C599D"/>
    <w:rsid w:val="009D265F"/>
    <w:rsid w:val="009D2670"/>
    <w:rsid w:val="009E0BAC"/>
    <w:rsid w:val="00A56CDE"/>
    <w:rsid w:val="00A74C19"/>
    <w:rsid w:val="00A80026"/>
    <w:rsid w:val="00A812CF"/>
    <w:rsid w:val="00A87315"/>
    <w:rsid w:val="00AC3FFE"/>
    <w:rsid w:val="00AD08BC"/>
    <w:rsid w:val="00B13053"/>
    <w:rsid w:val="00B465EC"/>
    <w:rsid w:val="00B73878"/>
    <w:rsid w:val="00BB14DD"/>
    <w:rsid w:val="00BF2C33"/>
    <w:rsid w:val="00C3236C"/>
    <w:rsid w:val="00C41C44"/>
    <w:rsid w:val="00CB30D6"/>
    <w:rsid w:val="00CE5BF6"/>
    <w:rsid w:val="00D243A9"/>
    <w:rsid w:val="00D4590D"/>
    <w:rsid w:val="00D4742C"/>
    <w:rsid w:val="00D51EA6"/>
    <w:rsid w:val="00DA5588"/>
    <w:rsid w:val="00DD1D05"/>
    <w:rsid w:val="00E03642"/>
    <w:rsid w:val="00E2798A"/>
    <w:rsid w:val="00E37971"/>
    <w:rsid w:val="00E82EF8"/>
    <w:rsid w:val="00E916AC"/>
    <w:rsid w:val="00E9773D"/>
    <w:rsid w:val="00EB3AFD"/>
    <w:rsid w:val="00EE4687"/>
    <w:rsid w:val="00F428D9"/>
    <w:rsid w:val="00F57905"/>
    <w:rsid w:val="00F605D2"/>
    <w:rsid w:val="00FA7A9D"/>
    <w:rsid w:val="00FC2F88"/>
    <w:rsid w:val="00FE2B5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16F541-805C-4A18-99E1-74296B00F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5B54"/>
  </w:style>
  <w:style w:type="paragraph" w:styleId="Heading2">
    <w:name w:val="heading 2"/>
    <w:basedOn w:val="Normal"/>
    <w:link w:val="Heading2Char"/>
    <w:uiPriority w:val="9"/>
    <w:qFormat/>
    <w:rsid w:val="0082015E"/>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7B7"/>
    <w:pPr>
      <w:ind w:left="720"/>
      <w:contextualSpacing/>
    </w:pPr>
  </w:style>
  <w:style w:type="character" w:styleId="Strong">
    <w:name w:val="Strong"/>
    <w:basedOn w:val="DefaultParagraphFont"/>
    <w:uiPriority w:val="22"/>
    <w:qFormat/>
    <w:rsid w:val="00232712"/>
    <w:rPr>
      <w:b/>
      <w:bCs/>
    </w:rPr>
  </w:style>
  <w:style w:type="character" w:styleId="Hyperlink">
    <w:name w:val="Hyperlink"/>
    <w:basedOn w:val="DefaultParagraphFont"/>
    <w:uiPriority w:val="99"/>
    <w:semiHidden/>
    <w:unhideWhenUsed/>
    <w:rsid w:val="00232712"/>
    <w:rPr>
      <w:color w:val="0000FF"/>
      <w:u w:val="single"/>
    </w:rPr>
  </w:style>
  <w:style w:type="character" w:styleId="Emphasis">
    <w:name w:val="Emphasis"/>
    <w:basedOn w:val="DefaultParagraphFont"/>
    <w:uiPriority w:val="20"/>
    <w:qFormat/>
    <w:rsid w:val="00232712"/>
    <w:rPr>
      <w:i/>
      <w:iCs/>
    </w:rPr>
  </w:style>
  <w:style w:type="character" w:styleId="FollowedHyperlink">
    <w:name w:val="FollowedHyperlink"/>
    <w:basedOn w:val="DefaultParagraphFont"/>
    <w:uiPriority w:val="99"/>
    <w:semiHidden/>
    <w:unhideWhenUsed/>
    <w:rsid w:val="0082015E"/>
    <w:rPr>
      <w:color w:val="800080" w:themeColor="followedHyperlink"/>
      <w:u w:val="single"/>
    </w:rPr>
  </w:style>
  <w:style w:type="character" w:customStyle="1" w:styleId="Heading2Char">
    <w:name w:val="Heading 2 Char"/>
    <w:basedOn w:val="DefaultParagraphFont"/>
    <w:link w:val="Heading2"/>
    <w:uiPriority w:val="9"/>
    <w:rsid w:val="0082015E"/>
    <w:rPr>
      <w:rFonts w:ascii="Times New Roman" w:eastAsia="Times New Roman" w:hAnsi="Times New Roman" w:cs="Times New Roman"/>
      <w:b/>
      <w:bCs/>
      <w:sz w:val="36"/>
      <w:szCs w:val="36"/>
      <w:lang w:eastAsia="en-CA"/>
    </w:rPr>
  </w:style>
  <w:style w:type="character" w:customStyle="1" w:styleId="ghr-condition">
    <w:name w:val="ghr-condition"/>
    <w:basedOn w:val="DefaultParagraphFont"/>
    <w:rsid w:val="009E0BAC"/>
  </w:style>
  <w:style w:type="character" w:customStyle="1" w:styleId="nobreak">
    <w:name w:val="nobreak"/>
    <w:basedOn w:val="DefaultParagraphFont"/>
    <w:rsid w:val="009E0BAC"/>
  </w:style>
  <w:style w:type="character" w:customStyle="1" w:styleId="chromosomeref">
    <w:name w:val="chromosomeref"/>
    <w:basedOn w:val="DefaultParagraphFont"/>
    <w:rsid w:val="00DA5588"/>
  </w:style>
  <w:style w:type="paragraph" w:styleId="NormalWeb">
    <w:name w:val="Normal (Web)"/>
    <w:basedOn w:val="Normal"/>
    <w:uiPriority w:val="99"/>
    <w:semiHidden/>
    <w:unhideWhenUsed/>
    <w:rsid w:val="009C599D"/>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tocnumber">
    <w:name w:val="tocnumber"/>
    <w:basedOn w:val="DefaultParagraphFont"/>
    <w:rsid w:val="009C599D"/>
  </w:style>
  <w:style w:type="character" w:customStyle="1" w:styleId="toctext">
    <w:name w:val="toctext"/>
    <w:basedOn w:val="DefaultParagraphFont"/>
    <w:rsid w:val="009C599D"/>
  </w:style>
  <w:style w:type="character" w:customStyle="1" w:styleId="mw-headline">
    <w:name w:val="mw-headline"/>
    <w:basedOn w:val="DefaultParagraphFont"/>
    <w:rsid w:val="009C599D"/>
  </w:style>
  <w:style w:type="character" w:customStyle="1" w:styleId="mw-editsection">
    <w:name w:val="mw-editsection"/>
    <w:basedOn w:val="DefaultParagraphFont"/>
    <w:rsid w:val="009C599D"/>
  </w:style>
  <w:style w:type="character" w:customStyle="1" w:styleId="mw-editsection-bracket">
    <w:name w:val="mw-editsection-bracket"/>
    <w:basedOn w:val="DefaultParagraphFont"/>
    <w:rsid w:val="009C599D"/>
  </w:style>
  <w:style w:type="paragraph" w:styleId="Header">
    <w:name w:val="header"/>
    <w:basedOn w:val="Normal"/>
    <w:link w:val="HeaderChar"/>
    <w:uiPriority w:val="99"/>
    <w:unhideWhenUsed/>
    <w:rsid w:val="009D2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670"/>
  </w:style>
  <w:style w:type="paragraph" w:styleId="Footer">
    <w:name w:val="footer"/>
    <w:basedOn w:val="Normal"/>
    <w:link w:val="FooterChar"/>
    <w:uiPriority w:val="99"/>
    <w:semiHidden/>
    <w:unhideWhenUsed/>
    <w:rsid w:val="009D26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D2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721091">
      <w:bodyDiv w:val="1"/>
      <w:marLeft w:val="0"/>
      <w:marRight w:val="0"/>
      <w:marTop w:val="0"/>
      <w:marBottom w:val="0"/>
      <w:divBdr>
        <w:top w:val="none" w:sz="0" w:space="0" w:color="auto"/>
        <w:left w:val="none" w:sz="0" w:space="0" w:color="auto"/>
        <w:bottom w:val="none" w:sz="0" w:space="0" w:color="auto"/>
        <w:right w:val="none" w:sz="0" w:space="0" w:color="auto"/>
      </w:divBdr>
    </w:div>
    <w:div w:id="967660808">
      <w:bodyDiv w:val="1"/>
      <w:marLeft w:val="0"/>
      <w:marRight w:val="0"/>
      <w:marTop w:val="0"/>
      <w:marBottom w:val="0"/>
      <w:divBdr>
        <w:top w:val="none" w:sz="0" w:space="0" w:color="auto"/>
        <w:left w:val="none" w:sz="0" w:space="0" w:color="auto"/>
        <w:bottom w:val="none" w:sz="0" w:space="0" w:color="auto"/>
        <w:right w:val="none" w:sz="0" w:space="0" w:color="auto"/>
      </w:divBdr>
    </w:div>
    <w:div w:id="1388601233">
      <w:bodyDiv w:val="1"/>
      <w:marLeft w:val="0"/>
      <w:marRight w:val="0"/>
      <w:marTop w:val="0"/>
      <w:marBottom w:val="0"/>
      <w:divBdr>
        <w:top w:val="none" w:sz="0" w:space="0" w:color="auto"/>
        <w:left w:val="none" w:sz="0" w:space="0" w:color="auto"/>
        <w:bottom w:val="none" w:sz="0" w:space="0" w:color="auto"/>
        <w:right w:val="none" w:sz="0" w:space="0" w:color="auto"/>
      </w:divBdr>
      <w:divsChild>
        <w:div w:id="220674001">
          <w:marLeft w:val="0"/>
          <w:marRight w:val="0"/>
          <w:marTop w:val="0"/>
          <w:marBottom w:val="0"/>
          <w:divBdr>
            <w:top w:val="single" w:sz="6" w:space="5" w:color="A2A9B1"/>
            <w:left w:val="single" w:sz="6" w:space="5" w:color="A2A9B1"/>
            <w:bottom w:val="single" w:sz="6" w:space="5" w:color="A2A9B1"/>
            <w:right w:val="single" w:sz="6" w:space="5" w:color="A2A9B1"/>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1050</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2019-11-28T17:26:00Z</dcterms:created>
  <dcterms:modified xsi:type="dcterms:W3CDTF">2019-11-28T17:26:00Z</dcterms:modified>
</cp:coreProperties>
</file>