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C04ED4" w:rsidRDefault="00A2436E" w:rsidP="00A243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Incentives</w:t>
      </w:r>
    </w:p>
    <w:p w:rsidR="00A2436E" w:rsidRDefault="00A2436E" w:rsidP="00A243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2436E" w:rsidRDefault="00A2436E" w:rsidP="00A243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C04ED4">
      <w:pPr>
        <w:spacing w:after="0" w:line="480" w:lineRule="auto"/>
        <w:jc w:val="both"/>
        <w:rPr>
          <w:rFonts w:ascii="Times New Roman" w:hAnsi="Times New Roman" w:cs="Times New Roman"/>
          <w:sz w:val="24"/>
          <w:szCs w:val="24"/>
        </w:rPr>
      </w:pPr>
    </w:p>
    <w:p w:rsidR="00A2436E" w:rsidRDefault="00A2436E" w:rsidP="00A243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Incentives</w:t>
      </w:r>
    </w:p>
    <w:p w:rsidR="00C01FFC" w:rsidRPr="00C04ED4" w:rsidRDefault="00C01FFC" w:rsidP="00A2436E">
      <w:pPr>
        <w:spacing w:after="0" w:line="480" w:lineRule="auto"/>
        <w:ind w:firstLine="720"/>
        <w:jc w:val="both"/>
        <w:rPr>
          <w:rFonts w:ascii="Times New Roman" w:hAnsi="Times New Roman" w:cs="Times New Roman"/>
          <w:sz w:val="24"/>
          <w:szCs w:val="24"/>
        </w:rPr>
      </w:pPr>
      <w:r w:rsidRPr="00C04ED4">
        <w:rPr>
          <w:rFonts w:ascii="Times New Roman" w:hAnsi="Times New Roman" w:cs="Times New Roman"/>
          <w:sz w:val="24"/>
          <w:szCs w:val="24"/>
        </w:rPr>
        <w:t xml:space="preserve">Incentives in the organization offer benefits for both employees and employers, while playing a potential role of influencing organizational change. Generally, it stimulates outstanding performance and productivity, thus resulting in employees increased morale, job contentment, and possible involvement in corporate functions. On top of that, employers experience greater efficiency and an increase in sales and productivity. Through the incentive strategy, both employers and workers appreciate a positive and productive work environment. On the other hand, incentives serve as the main link between people and change. It is evident that successful capacity development initiatives are entirely dependent on having the right motives in place since positive and progressive change can only be sustained where enhanced performance is empowered and rewarded. Considering the development sector approaches in developing countries, there is a legit attempt to change any existing incentive structures that do not contribute to sustainable capacity development, and this encourages their replacement with more effective ones. </w:t>
      </w:r>
    </w:p>
    <w:p w:rsidR="00C01FFC" w:rsidRPr="00C04ED4" w:rsidRDefault="00C01FFC" w:rsidP="00A2436E">
      <w:pPr>
        <w:spacing w:after="0" w:line="480" w:lineRule="auto"/>
        <w:ind w:firstLine="720"/>
        <w:jc w:val="both"/>
        <w:rPr>
          <w:rFonts w:ascii="Times New Roman" w:hAnsi="Times New Roman" w:cs="Times New Roman"/>
          <w:sz w:val="24"/>
          <w:szCs w:val="24"/>
        </w:rPr>
      </w:pPr>
      <w:r w:rsidRPr="00C04ED4">
        <w:rPr>
          <w:rFonts w:ascii="Times New Roman" w:hAnsi="Times New Roman" w:cs="Times New Roman"/>
          <w:sz w:val="24"/>
          <w:szCs w:val="24"/>
        </w:rPr>
        <w:t>Besides, developing an incentive structure requires a high level of creativity, proper targeting, and sequencing, as well as linking incentives and appropriate human resource management. As a manager, I would enforce various incentives that potentially influence organizational change. For instance, financial incentives are viewed as the organization's formal arrangement of bonuses, salaries, and other financial welfares ranging from health care compensation and housing allowance. Usually, this program is aimed at motivating certain behaviors or actions to the employees and customers as well. The studies have shown that organizations that embrace financial incentive programs greatly influence loyalty and productivity among employees</w:t>
      </w:r>
      <w:r w:rsidR="00C04ED4" w:rsidRPr="00C04ED4">
        <w:rPr>
          <w:rFonts w:ascii="Times New Roman" w:hAnsi="Times New Roman" w:cs="Times New Roman"/>
          <w:sz w:val="24"/>
          <w:szCs w:val="24"/>
        </w:rPr>
        <w:t xml:space="preserve"> (</w:t>
      </w:r>
      <w:r w:rsidR="00C04ED4" w:rsidRPr="00C04ED4">
        <w:rPr>
          <w:rFonts w:ascii="Times New Roman" w:hAnsi="Times New Roman" w:cs="Times New Roman"/>
          <w:color w:val="222222"/>
          <w:sz w:val="24"/>
          <w:szCs w:val="24"/>
          <w:shd w:val="clear" w:color="auto" w:fill="FFFFFF"/>
        </w:rPr>
        <w:t xml:space="preserve">Tkachenko, </w:t>
      </w:r>
      <w:r w:rsidR="00C04ED4" w:rsidRPr="00C04ED4">
        <w:rPr>
          <w:rFonts w:ascii="Times New Roman" w:hAnsi="Times New Roman" w:cs="Times New Roman"/>
          <w:color w:val="222222"/>
          <w:sz w:val="24"/>
          <w:szCs w:val="24"/>
          <w:shd w:val="clear" w:color="auto" w:fill="FFFFFF"/>
        </w:rPr>
        <w:t>Yakov</w:t>
      </w:r>
      <w:r w:rsidR="00C04ED4" w:rsidRPr="00C04ED4">
        <w:rPr>
          <w:rFonts w:ascii="Times New Roman" w:hAnsi="Times New Roman" w:cs="Times New Roman"/>
          <w:color w:val="222222"/>
          <w:sz w:val="24"/>
          <w:szCs w:val="24"/>
          <w:shd w:val="clear" w:color="auto" w:fill="FFFFFF"/>
        </w:rPr>
        <w:t>lev, &amp; Rodionova, 2018)</w:t>
      </w:r>
      <w:r w:rsidRPr="00C04ED4">
        <w:rPr>
          <w:rFonts w:ascii="Times New Roman" w:hAnsi="Times New Roman" w:cs="Times New Roman"/>
          <w:sz w:val="24"/>
          <w:szCs w:val="24"/>
        </w:rPr>
        <w:t xml:space="preserve">. Some of these incentives include stock options, commissions, profit sharing, raises, and bonuses. From a customer perspective, </w:t>
      </w:r>
      <w:r w:rsidRPr="00C04ED4">
        <w:rPr>
          <w:rFonts w:ascii="Times New Roman" w:hAnsi="Times New Roman" w:cs="Times New Roman"/>
          <w:sz w:val="24"/>
          <w:szCs w:val="24"/>
        </w:rPr>
        <w:lastRenderedPageBreak/>
        <w:t xml:space="preserve">organizations try to attract more customers to buy more by organizing various programs such as offering discounted prices, free additions on top of what is bought, and offering a lottery. Raises entail salary or wage increase, which partly depends on the various factors such as the organization's philosophy and workers performance. </w:t>
      </w:r>
    </w:p>
    <w:p w:rsidR="00C01FFC" w:rsidRPr="00C04ED4" w:rsidRDefault="00C01FFC" w:rsidP="00A2436E">
      <w:pPr>
        <w:spacing w:after="0" w:line="480" w:lineRule="auto"/>
        <w:ind w:firstLine="720"/>
        <w:jc w:val="both"/>
        <w:rPr>
          <w:rFonts w:ascii="Times New Roman" w:hAnsi="Times New Roman" w:cs="Times New Roman"/>
          <w:sz w:val="24"/>
          <w:szCs w:val="24"/>
        </w:rPr>
      </w:pPr>
      <w:r w:rsidRPr="00C04ED4">
        <w:rPr>
          <w:rFonts w:ascii="Times New Roman" w:hAnsi="Times New Roman" w:cs="Times New Roman"/>
          <w:sz w:val="24"/>
          <w:szCs w:val="24"/>
        </w:rPr>
        <w:t xml:space="preserve">In addition, incorporation of non-financial incentives can lead to exceptional improvement in an organization as it covers an array of programs, which facilitates success to organizational change. Some of the known effective incentives include merit-based schemes for promotion, recruitment, and professional development opportunities the external environment which entails forces of supply and demand requires excellent performance and accountability in order to enhance customer satisfaction and the survival of an organization. Establishing a comprehensive and useful accountability systems takes time, but it can turn out to be sustainable if linked to other incentives. Benchmarking and competition are also forms of non-financial incentives, which stimulates healthy competition between different departments. Also, proper human resource management encourages the improvement of employees working conditions. This incentive also leads to appropriate clarification of job descriptions based on the organization's mandate, leading to effective implementation of performance management and staff appraisal systems. Another non-financial incentive is training that is very influential in supporting capacity development, resulting in a tremendous change in an organization. </w:t>
      </w:r>
    </w:p>
    <w:p w:rsidR="00CA4B51" w:rsidRPr="00C04ED4" w:rsidRDefault="00C01FFC" w:rsidP="00A2436E">
      <w:pPr>
        <w:spacing w:after="0" w:line="480" w:lineRule="auto"/>
        <w:ind w:firstLine="720"/>
        <w:jc w:val="both"/>
        <w:rPr>
          <w:rFonts w:ascii="Times New Roman" w:hAnsi="Times New Roman" w:cs="Times New Roman"/>
          <w:sz w:val="24"/>
          <w:szCs w:val="24"/>
        </w:rPr>
      </w:pPr>
      <w:r w:rsidRPr="00C04ED4">
        <w:rPr>
          <w:rFonts w:ascii="Times New Roman" w:hAnsi="Times New Roman" w:cs="Times New Roman"/>
          <w:sz w:val="24"/>
          <w:szCs w:val="24"/>
        </w:rPr>
        <w:t>Internal and external incentives are critical factors in improving organizational change and performance. Some study reveals that internally and externally motivated employees rarely perform poorly because directly noticeable motivations are related to performance</w:t>
      </w:r>
      <w:r w:rsidR="00C04ED4" w:rsidRPr="00C04ED4">
        <w:rPr>
          <w:rFonts w:ascii="Times New Roman" w:hAnsi="Times New Roman" w:cs="Times New Roman"/>
          <w:sz w:val="24"/>
          <w:szCs w:val="24"/>
        </w:rPr>
        <w:t xml:space="preserve"> (</w:t>
      </w:r>
      <w:r w:rsidR="00C04ED4" w:rsidRPr="00C04ED4">
        <w:rPr>
          <w:rFonts w:ascii="Times New Roman" w:hAnsi="Times New Roman" w:cs="Times New Roman"/>
          <w:color w:val="222222"/>
          <w:sz w:val="24"/>
          <w:szCs w:val="24"/>
          <w:shd w:val="clear" w:color="auto" w:fill="FFFFFF"/>
        </w:rPr>
        <w:t>Kopytova, 2017)</w:t>
      </w:r>
      <w:r w:rsidRPr="00C04ED4">
        <w:rPr>
          <w:rFonts w:ascii="Times New Roman" w:hAnsi="Times New Roman" w:cs="Times New Roman"/>
          <w:sz w:val="24"/>
          <w:szCs w:val="24"/>
        </w:rPr>
        <w:t xml:space="preserve">. They work in synergy to influence productivity and work outcomes. Sometimes employees are motivated to act due to innate desires and wishes although, at some point, their behaviors are </w:t>
      </w:r>
      <w:r w:rsidRPr="00C04ED4">
        <w:rPr>
          <w:rFonts w:ascii="Times New Roman" w:hAnsi="Times New Roman" w:cs="Times New Roman"/>
          <w:sz w:val="24"/>
          <w:szCs w:val="24"/>
        </w:rPr>
        <w:lastRenderedPageBreak/>
        <w:t>primarily driven by a desire for external rewards. These desires range from promotion, praise, money, and attention. In general, I think every organization aspiring to thrive in terms of performance and productivity should encourage things that motivate and promotes the aversive event from the environment, to promote positive and productive change in an organization.</w:t>
      </w: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A2436E">
      <w:pPr>
        <w:spacing w:after="0" w:line="480" w:lineRule="auto"/>
        <w:jc w:val="center"/>
        <w:rPr>
          <w:rFonts w:ascii="Times New Roman" w:hAnsi="Times New Roman" w:cs="Times New Roman"/>
          <w:sz w:val="24"/>
          <w:szCs w:val="24"/>
        </w:rPr>
      </w:pPr>
      <w:r w:rsidRPr="00C04ED4">
        <w:rPr>
          <w:rFonts w:ascii="Times New Roman" w:hAnsi="Times New Roman" w:cs="Times New Roman"/>
          <w:sz w:val="24"/>
          <w:szCs w:val="24"/>
        </w:rPr>
        <w:lastRenderedPageBreak/>
        <w:t>References</w:t>
      </w:r>
    </w:p>
    <w:p w:rsidR="00C04ED4" w:rsidRPr="00C04ED4" w:rsidRDefault="00C04ED4" w:rsidP="00C04ED4">
      <w:pPr>
        <w:spacing w:after="0" w:line="480" w:lineRule="auto"/>
        <w:ind w:left="720" w:hanging="720"/>
        <w:jc w:val="both"/>
        <w:rPr>
          <w:rFonts w:ascii="Times New Roman" w:hAnsi="Times New Roman" w:cs="Times New Roman"/>
          <w:sz w:val="24"/>
          <w:szCs w:val="24"/>
        </w:rPr>
      </w:pPr>
      <w:r w:rsidRPr="00C04ED4">
        <w:rPr>
          <w:rFonts w:ascii="Times New Roman" w:hAnsi="Times New Roman" w:cs="Times New Roman"/>
          <w:color w:val="222222"/>
          <w:sz w:val="24"/>
          <w:szCs w:val="24"/>
          <w:shd w:val="clear" w:color="auto" w:fill="FFFFFF"/>
        </w:rPr>
        <w:t>Kopytova, A. V. (2017). Pattern of the rational worker incentive system. In </w:t>
      </w:r>
      <w:r w:rsidRPr="00C04ED4">
        <w:rPr>
          <w:rFonts w:ascii="Times New Roman" w:hAnsi="Times New Roman" w:cs="Times New Roman"/>
          <w:i/>
          <w:iCs/>
          <w:color w:val="222222"/>
          <w:sz w:val="24"/>
          <w:szCs w:val="24"/>
          <w:shd w:val="clear" w:color="auto" w:fill="FFFFFF"/>
        </w:rPr>
        <w:t>MATEC Web of Conferences</w:t>
      </w:r>
      <w:r w:rsidRPr="00C04ED4">
        <w:rPr>
          <w:rFonts w:ascii="Times New Roman" w:hAnsi="Times New Roman" w:cs="Times New Roman"/>
          <w:color w:val="222222"/>
          <w:sz w:val="24"/>
          <w:szCs w:val="24"/>
          <w:shd w:val="clear" w:color="auto" w:fill="FFFFFF"/>
        </w:rPr>
        <w:t> (Vol. 106, p. 08056). EDP Sciences.</w:t>
      </w:r>
    </w:p>
    <w:p w:rsidR="00C04ED4" w:rsidRPr="00C04ED4" w:rsidRDefault="00C04ED4" w:rsidP="00C04ED4">
      <w:pPr>
        <w:spacing w:after="0" w:line="480" w:lineRule="auto"/>
        <w:ind w:left="720" w:hanging="720"/>
        <w:jc w:val="both"/>
        <w:rPr>
          <w:rFonts w:ascii="Times New Roman" w:hAnsi="Times New Roman" w:cs="Times New Roman"/>
          <w:color w:val="222222"/>
          <w:sz w:val="24"/>
          <w:szCs w:val="24"/>
          <w:shd w:val="clear" w:color="auto" w:fill="FFFFFF"/>
        </w:rPr>
      </w:pPr>
      <w:r w:rsidRPr="00C04ED4">
        <w:rPr>
          <w:rFonts w:ascii="Times New Roman" w:hAnsi="Times New Roman" w:cs="Times New Roman"/>
          <w:color w:val="222222"/>
          <w:sz w:val="24"/>
          <w:szCs w:val="24"/>
          <w:shd w:val="clear" w:color="auto" w:fill="FFFFFF"/>
        </w:rPr>
        <w:t>Tkachenko, A., Yakovlev, A., &amp; Rodionova, Y. (2018). Organizational forms and incentives in public procurement: natural experiment at a large public sector organization in Russia. </w:t>
      </w:r>
      <w:r w:rsidRPr="00C04ED4">
        <w:rPr>
          <w:rFonts w:ascii="Times New Roman" w:hAnsi="Times New Roman" w:cs="Times New Roman"/>
          <w:i/>
          <w:iCs/>
          <w:color w:val="222222"/>
          <w:sz w:val="24"/>
          <w:szCs w:val="24"/>
          <w:shd w:val="clear" w:color="auto" w:fill="FFFFFF"/>
        </w:rPr>
        <w:t>International Journal of Public Administration</w:t>
      </w:r>
      <w:r w:rsidRPr="00C04ED4">
        <w:rPr>
          <w:rFonts w:ascii="Times New Roman" w:hAnsi="Times New Roman" w:cs="Times New Roman"/>
          <w:color w:val="222222"/>
          <w:sz w:val="24"/>
          <w:szCs w:val="24"/>
          <w:shd w:val="clear" w:color="auto" w:fill="FFFFFF"/>
        </w:rPr>
        <w:t>, </w:t>
      </w:r>
      <w:r w:rsidRPr="00C04ED4">
        <w:rPr>
          <w:rFonts w:ascii="Times New Roman" w:hAnsi="Times New Roman" w:cs="Times New Roman"/>
          <w:i/>
          <w:iCs/>
          <w:color w:val="222222"/>
          <w:sz w:val="24"/>
          <w:szCs w:val="24"/>
          <w:shd w:val="clear" w:color="auto" w:fill="FFFFFF"/>
        </w:rPr>
        <w:t>41</w:t>
      </w:r>
      <w:r w:rsidRPr="00C04ED4">
        <w:rPr>
          <w:rFonts w:ascii="Times New Roman" w:hAnsi="Times New Roman" w:cs="Times New Roman"/>
          <w:color w:val="222222"/>
          <w:sz w:val="24"/>
          <w:szCs w:val="24"/>
          <w:shd w:val="clear" w:color="auto" w:fill="FFFFFF"/>
        </w:rPr>
        <w:t>(14), 1157-1168.</w:t>
      </w:r>
    </w:p>
    <w:p w:rsidR="00C04ED4" w:rsidRPr="00C04ED4" w:rsidRDefault="00C04ED4" w:rsidP="00C04ED4">
      <w:pPr>
        <w:spacing w:after="0" w:line="480" w:lineRule="auto"/>
        <w:jc w:val="both"/>
        <w:rPr>
          <w:rFonts w:ascii="Times New Roman" w:hAnsi="Times New Roman" w:cs="Times New Roman"/>
          <w:sz w:val="24"/>
          <w:szCs w:val="24"/>
        </w:rPr>
      </w:pPr>
    </w:p>
    <w:p w:rsidR="00C04ED4" w:rsidRPr="00C04ED4" w:rsidRDefault="00C04ED4" w:rsidP="00C04ED4">
      <w:pPr>
        <w:spacing w:after="0" w:line="480" w:lineRule="auto"/>
        <w:jc w:val="both"/>
        <w:rPr>
          <w:rFonts w:ascii="Times New Roman" w:hAnsi="Times New Roman" w:cs="Times New Roman"/>
          <w:sz w:val="24"/>
          <w:szCs w:val="24"/>
        </w:rPr>
      </w:pPr>
      <w:bookmarkStart w:id="0" w:name="_GoBack"/>
      <w:bookmarkEnd w:id="0"/>
    </w:p>
    <w:sectPr w:rsidR="00C04ED4" w:rsidRPr="00C04ED4" w:rsidSect="00C04E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AA4" w:rsidRDefault="00643AA4" w:rsidP="00C04ED4">
      <w:pPr>
        <w:spacing w:after="0" w:line="240" w:lineRule="auto"/>
      </w:pPr>
      <w:r>
        <w:separator/>
      </w:r>
    </w:p>
  </w:endnote>
  <w:endnote w:type="continuationSeparator" w:id="0">
    <w:p w:rsidR="00643AA4" w:rsidRDefault="00643AA4" w:rsidP="00C04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AA4" w:rsidRDefault="00643AA4" w:rsidP="00C04ED4">
      <w:pPr>
        <w:spacing w:after="0" w:line="240" w:lineRule="auto"/>
      </w:pPr>
      <w:r>
        <w:separator/>
      </w:r>
    </w:p>
  </w:footnote>
  <w:footnote w:type="continuationSeparator" w:id="0">
    <w:p w:rsidR="00643AA4" w:rsidRDefault="00643AA4" w:rsidP="00C04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ED4" w:rsidRDefault="00A2436E">
    <w:pPr>
      <w:pStyle w:val="Header"/>
    </w:pPr>
    <w:r w:rsidRPr="00A2436E">
      <w:rPr>
        <w:rFonts w:ascii="Times New Roman" w:hAnsi="Times New Roman" w:cs="Times New Roman"/>
        <w:sz w:val="24"/>
        <w:szCs w:val="24"/>
      </w:rPr>
      <w:t>INCENTIVES</w:t>
    </w:r>
    <w:r w:rsidRPr="00A2436E">
      <w:rPr>
        <w:rFonts w:ascii="Times New Roman" w:hAnsi="Times New Roman" w:cs="Times New Roman"/>
        <w:sz w:val="24"/>
        <w:szCs w:val="24"/>
      </w:rPr>
      <w:tab/>
    </w:r>
    <w:r w:rsidRPr="00A2436E">
      <w:rPr>
        <w:rFonts w:ascii="Times New Roman" w:hAnsi="Times New Roman" w:cs="Times New Roman"/>
        <w:sz w:val="24"/>
        <w:szCs w:val="24"/>
      </w:rPr>
      <w:tab/>
    </w:r>
    <w:r w:rsidRPr="00A2436E">
      <w:rPr>
        <w:rFonts w:ascii="Times New Roman" w:hAnsi="Times New Roman" w:cs="Times New Roman"/>
        <w:sz w:val="24"/>
        <w:szCs w:val="24"/>
      </w:rPr>
      <w:fldChar w:fldCharType="begin"/>
    </w:r>
    <w:r w:rsidRPr="00A2436E">
      <w:rPr>
        <w:rFonts w:ascii="Times New Roman" w:hAnsi="Times New Roman" w:cs="Times New Roman"/>
        <w:sz w:val="24"/>
        <w:szCs w:val="24"/>
      </w:rPr>
      <w:instrText xml:space="preserve"> PAGE   \* MERGEFORMAT </w:instrText>
    </w:r>
    <w:r w:rsidRPr="00A2436E">
      <w:rPr>
        <w:rFonts w:ascii="Times New Roman" w:hAnsi="Times New Roman" w:cs="Times New Roman"/>
        <w:sz w:val="24"/>
        <w:szCs w:val="24"/>
      </w:rPr>
      <w:fldChar w:fldCharType="separate"/>
    </w:r>
    <w:r>
      <w:rPr>
        <w:rFonts w:ascii="Times New Roman" w:hAnsi="Times New Roman" w:cs="Times New Roman"/>
        <w:noProof/>
        <w:sz w:val="24"/>
        <w:szCs w:val="24"/>
      </w:rPr>
      <w:t>5</w:t>
    </w:r>
    <w:r w:rsidRPr="00A243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ED4" w:rsidRPr="00A2436E" w:rsidRDefault="00A2436E">
    <w:pPr>
      <w:pStyle w:val="Header"/>
      <w:rPr>
        <w:rFonts w:ascii="Times New Roman" w:hAnsi="Times New Roman" w:cs="Times New Roman"/>
        <w:sz w:val="24"/>
        <w:szCs w:val="24"/>
      </w:rPr>
    </w:pPr>
    <w:r w:rsidRPr="00A2436E">
      <w:rPr>
        <w:rFonts w:ascii="Times New Roman" w:hAnsi="Times New Roman" w:cs="Times New Roman"/>
        <w:sz w:val="24"/>
        <w:szCs w:val="24"/>
      </w:rPr>
      <w:t>Running head: INCENTIVES</w:t>
    </w:r>
    <w:r w:rsidRPr="00A2436E">
      <w:rPr>
        <w:rFonts w:ascii="Times New Roman" w:hAnsi="Times New Roman" w:cs="Times New Roman"/>
        <w:sz w:val="24"/>
        <w:szCs w:val="24"/>
      </w:rPr>
      <w:tab/>
    </w:r>
    <w:r w:rsidRPr="00A2436E">
      <w:rPr>
        <w:rFonts w:ascii="Times New Roman" w:hAnsi="Times New Roman" w:cs="Times New Roman"/>
        <w:sz w:val="24"/>
        <w:szCs w:val="24"/>
      </w:rPr>
      <w:tab/>
    </w:r>
    <w:r w:rsidRPr="00A2436E">
      <w:rPr>
        <w:rFonts w:ascii="Times New Roman" w:hAnsi="Times New Roman" w:cs="Times New Roman"/>
        <w:sz w:val="24"/>
        <w:szCs w:val="24"/>
      </w:rPr>
      <w:fldChar w:fldCharType="begin"/>
    </w:r>
    <w:r w:rsidRPr="00A2436E">
      <w:rPr>
        <w:rFonts w:ascii="Times New Roman" w:hAnsi="Times New Roman" w:cs="Times New Roman"/>
        <w:sz w:val="24"/>
        <w:szCs w:val="24"/>
      </w:rPr>
      <w:instrText xml:space="preserve"> PAGE   \* MERGEFORMAT </w:instrText>
    </w:r>
    <w:r w:rsidRPr="00A243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A243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64D"/>
    <w:rsid w:val="0001164D"/>
    <w:rsid w:val="00051D19"/>
    <w:rsid w:val="000612F6"/>
    <w:rsid w:val="00071039"/>
    <w:rsid w:val="001351B9"/>
    <w:rsid w:val="002F03AB"/>
    <w:rsid w:val="00364AB0"/>
    <w:rsid w:val="003939CD"/>
    <w:rsid w:val="003C68A5"/>
    <w:rsid w:val="00445AB2"/>
    <w:rsid w:val="005F2307"/>
    <w:rsid w:val="00643AA4"/>
    <w:rsid w:val="0071148D"/>
    <w:rsid w:val="00806338"/>
    <w:rsid w:val="008C7000"/>
    <w:rsid w:val="009B041A"/>
    <w:rsid w:val="00A146CA"/>
    <w:rsid w:val="00A2436E"/>
    <w:rsid w:val="00B81E1D"/>
    <w:rsid w:val="00C01FFC"/>
    <w:rsid w:val="00C04ED4"/>
    <w:rsid w:val="00CA4B51"/>
    <w:rsid w:val="00D4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00F12-880B-40DB-B27D-41A5E12B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ED4"/>
  </w:style>
  <w:style w:type="paragraph" w:styleId="Footer">
    <w:name w:val="footer"/>
    <w:basedOn w:val="Normal"/>
    <w:link w:val="FooterChar"/>
    <w:uiPriority w:val="99"/>
    <w:unhideWhenUsed/>
    <w:rsid w:val="00C04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4300</Characters>
  <Application>Microsoft Office Word</Application>
  <DocSecurity>0</DocSecurity>
  <Lines>58</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2019-05-06T11:47:00Z</dcterms:created>
  <dcterms:modified xsi:type="dcterms:W3CDTF">2019-05-06T11:47:00Z</dcterms:modified>
</cp:coreProperties>
</file>