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8D9"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w:t>
      </w:r>
    </w:p>
    <w:p w:rsidR="004208D9" w:rsidRDefault="004208D9" w:rsidP="003846C2">
      <w:pPr>
        <w:spacing w:line="480" w:lineRule="auto"/>
        <w:rPr>
          <w:rFonts w:ascii="Times New Roman" w:hAnsi="Times New Roman" w:cs="Times New Roman"/>
          <w:sz w:val="24"/>
          <w:szCs w:val="24"/>
        </w:rPr>
      </w:pPr>
    </w:p>
    <w:p w:rsidR="004208D9" w:rsidRDefault="004208D9" w:rsidP="003846C2">
      <w:pPr>
        <w:spacing w:line="480" w:lineRule="auto"/>
        <w:rPr>
          <w:rFonts w:ascii="Times New Roman" w:hAnsi="Times New Roman" w:cs="Times New Roman"/>
          <w:sz w:val="24"/>
          <w:szCs w:val="24"/>
        </w:rPr>
      </w:pPr>
    </w:p>
    <w:p w:rsidR="00AE0A32" w:rsidRDefault="00AE0A32" w:rsidP="003846C2">
      <w:pPr>
        <w:spacing w:line="480" w:lineRule="auto"/>
        <w:rPr>
          <w:rFonts w:ascii="Times New Roman" w:hAnsi="Times New Roman" w:cs="Times New Roman"/>
          <w:sz w:val="24"/>
          <w:szCs w:val="24"/>
        </w:rPr>
      </w:pPr>
    </w:p>
    <w:p w:rsidR="00AE0A32" w:rsidRDefault="00AE0A32" w:rsidP="003846C2">
      <w:pPr>
        <w:spacing w:line="480" w:lineRule="auto"/>
        <w:rPr>
          <w:rFonts w:ascii="Times New Roman" w:hAnsi="Times New Roman" w:cs="Times New Roman"/>
          <w:sz w:val="24"/>
          <w:szCs w:val="24"/>
        </w:rPr>
      </w:pPr>
    </w:p>
    <w:p w:rsidR="00AE0A32" w:rsidRDefault="00AE0A32" w:rsidP="003846C2">
      <w:pPr>
        <w:spacing w:line="480" w:lineRule="auto"/>
        <w:rPr>
          <w:rFonts w:ascii="Times New Roman" w:hAnsi="Times New Roman" w:cs="Times New Roman"/>
          <w:sz w:val="24"/>
          <w:szCs w:val="24"/>
        </w:rPr>
      </w:pPr>
    </w:p>
    <w:p w:rsidR="00AE0A32" w:rsidRDefault="00AE0A32" w:rsidP="003846C2">
      <w:pPr>
        <w:spacing w:line="480" w:lineRule="auto"/>
        <w:rPr>
          <w:rFonts w:ascii="Times New Roman" w:hAnsi="Times New Roman" w:cs="Times New Roman"/>
          <w:sz w:val="24"/>
          <w:szCs w:val="24"/>
        </w:rPr>
      </w:pPr>
    </w:p>
    <w:p w:rsidR="00AE0A32" w:rsidRDefault="00AE0A32" w:rsidP="00AE0A32">
      <w:pPr>
        <w:spacing w:line="480" w:lineRule="auto"/>
        <w:jc w:val="center"/>
        <w:rPr>
          <w:rFonts w:ascii="Times New Roman" w:hAnsi="Times New Roman" w:cs="Times New Roman"/>
          <w:sz w:val="24"/>
          <w:szCs w:val="24"/>
        </w:rPr>
      </w:pPr>
      <w:r>
        <w:rPr>
          <w:rFonts w:ascii="Times New Roman" w:hAnsi="Times New Roman" w:cs="Times New Roman"/>
          <w:sz w:val="24"/>
          <w:szCs w:val="24"/>
        </w:rPr>
        <w:t>Flood Insurance as a Risk Response after Hurricane Sandy</w:t>
      </w:r>
    </w:p>
    <w:p w:rsidR="00AE0A32" w:rsidRDefault="00AE0A32" w:rsidP="00AE0A3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0A32" w:rsidRDefault="00AE0A32" w:rsidP="00AE0A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0A32" w:rsidRDefault="00AE0A32" w:rsidP="00AE0A3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C4878" w:rsidRDefault="009C4878" w:rsidP="00AE0A32">
      <w:pPr>
        <w:spacing w:line="480" w:lineRule="auto"/>
        <w:jc w:val="center"/>
        <w:rPr>
          <w:rFonts w:ascii="Times New Roman" w:hAnsi="Times New Roman" w:cs="Times New Roman"/>
          <w:sz w:val="24"/>
          <w:szCs w:val="24"/>
        </w:rPr>
      </w:pPr>
    </w:p>
    <w:p w:rsidR="009C4878" w:rsidRDefault="009C4878" w:rsidP="00AE0A32">
      <w:pPr>
        <w:spacing w:line="480" w:lineRule="auto"/>
        <w:jc w:val="center"/>
        <w:rPr>
          <w:rFonts w:ascii="Times New Roman" w:hAnsi="Times New Roman" w:cs="Times New Roman"/>
          <w:sz w:val="24"/>
          <w:szCs w:val="24"/>
        </w:rPr>
      </w:pPr>
    </w:p>
    <w:p w:rsidR="009C4878" w:rsidRDefault="009C4878" w:rsidP="00AE0A32">
      <w:pPr>
        <w:spacing w:line="480" w:lineRule="auto"/>
        <w:jc w:val="center"/>
        <w:rPr>
          <w:rFonts w:ascii="Times New Roman" w:hAnsi="Times New Roman" w:cs="Times New Roman"/>
          <w:sz w:val="24"/>
          <w:szCs w:val="24"/>
        </w:rPr>
      </w:pPr>
    </w:p>
    <w:p w:rsidR="00AE0A32" w:rsidRDefault="00AE0A32" w:rsidP="00AE0A32">
      <w:pPr>
        <w:spacing w:line="480" w:lineRule="auto"/>
        <w:jc w:val="center"/>
        <w:rPr>
          <w:rFonts w:ascii="Times New Roman" w:hAnsi="Times New Roman" w:cs="Times New Roman"/>
          <w:sz w:val="24"/>
          <w:szCs w:val="24"/>
        </w:rPr>
      </w:pPr>
    </w:p>
    <w:p w:rsidR="004208D9" w:rsidRDefault="004208D9" w:rsidP="003846C2">
      <w:pPr>
        <w:spacing w:line="480" w:lineRule="auto"/>
        <w:rPr>
          <w:rFonts w:ascii="Times New Roman" w:hAnsi="Times New Roman" w:cs="Times New Roman"/>
          <w:sz w:val="24"/>
          <w:szCs w:val="24"/>
        </w:rPr>
      </w:pPr>
    </w:p>
    <w:p w:rsidR="004208D9" w:rsidRDefault="004208D9" w:rsidP="003846C2">
      <w:pPr>
        <w:spacing w:line="480" w:lineRule="auto"/>
        <w:rPr>
          <w:rFonts w:ascii="Times New Roman" w:hAnsi="Times New Roman" w:cs="Times New Roman"/>
          <w:sz w:val="24"/>
          <w:szCs w:val="24"/>
        </w:rPr>
      </w:pPr>
    </w:p>
    <w:p w:rsidR="009173CE" w:rsidRPr="003846C2" w:rsidRDefault="009173CE" w:rsidP="003846C2">
      <w:pPr>
        <w:spacing w:line="480" w:lineRule="auto"/>
        <w:rPr>
          <w:rFonts w:ascii="Times New Roman" w:hAnsi="Times New Roman" w:cs="Times New Roman"/>
          <w:b/>
          <w:sz w:val="24"/>
          <w:szCs w:val="24"/>
        </w:rPr>
      </w:pPr>
      <w:bookmarkStart w:id="0" w:name="_GoBack"/>
      <w:bookmarkEnd w:id="0"/>
      <w:r w:rsidRPr="003846C2">
        <w:rPr>
          <w:rFonts w:ascii="Times New Roman" w:hAnsi="Times New Roman" w:cs="Times New Roman"/>
          <w:b/>
          <w:sz w:val="24"/>
          <w:szCs w:val="24"/>
        </w:rPr>
        <w:lastRenderedPageBreak/>
        <w:t>Insurance claims in New Jersey and New York due to Sandy damage</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Hurricane Sandy struck the coastline of New Jersey and New York on October 29, 2012, causing great damage to residential and commercial property as well as roads and other infrastructures.</w:t>
      </w:r>
      <w:sdt>
        <w:sdtPr>
          <w:rPr>
            <w:rFonts w:ascii="Times New Roman" w:hAnsi="Times New Roman" w:cs="Times New Roman"/>
            <w:sz w:val="24"/>
            <w:szCs w:val="24"/>
          </w:rPr>
          <w:id w:val="701828835"/>
          <w:citation/>
        </w:sdtPr>
        <w:sdtEndPr/>
        <w:sdtContent>
          <w:r w:rsidR="00794D82" w:rsidRPr="003846C2">
            <w:rPr>
              <w:rFonts w:ascii="Times New Roman" w:hAnsi="Times New Roman" w:cs="Times New Roman"/>
              <w:sz w:val="24"/>
              <w:szCs w:val="24"/>
            </w:rPr>
            <w:fldChar w:fldCharType="begin"/>
          </w:r>
          <w:r w:rsidR="00794D82" w:rsidRPr="003846C2">
            <w:rPr>
              <w:rFonts w:ascii="Times New Roman" w:hAnsi="Times New Roman" w:cs="Times New Roman"/>
              <w:sz w:val="24"/>
              <w:szCs w:val="24"/>
            </w:rPr>
            <w:instrText xml:space="preserve"> CITATION Llo13 \l 1033 </w:instrText>
          </w:r>
          <w:r w:rsidR="00794D82" w:rsidRPr="003846C2">
            <w:rPr>
              <w:rFonts w:ascii="Times New Roman" w:hAnsi="Times New Roman" w:cs="Times New Roman"/>
              <w:sz w:val="24"/>
              <w:szCs w:val="24"/>
            </w:rPr>
            <w:fldChar w:fldCharType="separate"/>
          </w:r>
          <w:r w:rsidR="00794D82" w:rsidRPr="003846C2">
            <w:rPr>
              <w:rFonts w:ascii="Times New Roman" w:hAnsi="Times New Roman" w:cs="Times New Roman"/>
              <w:noProof/>
              <w:sz w:val="24"/>
              <w:szCs w:val="24"/>
            </w:rPr>
            <w:t xml:space="preserve"> (Dixon, Clancy, Bender, Kofner, Manheim, &amp; Zakaras, 2013)</w:t>
          </w:r>
          <w:r w:rsidR="00794D82" w:rsidRPr="003846C2">
            <w:rPr>
              <w:rFonts w:ascii="Times New Roman" w:hAnsi="Times New Roman" w:cs="Times New Roman"/>
              <w:sz w:val="24"/>
              <w:szCs w:val="24"/>
            </w:rPr>
            <w:fldChar w:fldCharType="end"/>
          </w:r>
        </w:sdtContent>
      </w:sdt>
      <w:r w:rsidRPr="003846C2">
        <w:rPr>
          <w:rFonts w:ascii="Times New Roman" w:hAnsi="Times New Roman" w:cs="Times New Roman"/>
          <w:sz w:val="24"/>
          <w:szCs w:val="24"/>
        </w:rPr>
        <w:t xml:space="preserve">  Since the storm hit, much progress has been made to rebuild the two states. As part of the recovery process, many property owners turned to their insurance for help to restore their property. Insurance has been the best option for many property owners as it ensures that they can mitigate the adverse financial consequences of such disasters. The hurricane served as a reminder of the importance of catastrophe insurance.</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The insurance industry demonstrated their robust role in the wake of the disaster when they settled more than 90% of claims from the two states in less than six months. The two states alone filed for more than half of the 1.5 million claims for damage caused by Sandy hurricane to vehicles, homes and business enterprises. According to the Insurance Information Institute (III), the rest of the claims were from the other states including the District of Colombia.</w:t>
      </w:r>
      <w:sdt>
        <w:sdtPr>
          <w:rPr>
            <w:rFonts w:ascii="Times New Roman" w:hAnsi="Times New Roman" w:cs="Times New Roman"/>
            <w:sz w:val="24"/>
            <w:szCs w:val="24"/>
          </w:rPr>
          <w:id w:val="-1812549206"/>
          <w:citation/>
        </w:sdtPr>
        <w:sdtEndPr/>
        <w:sdtContent>
          <w:r w:rsidR="000D2EC5" w:rsidRPr="003846C2">
            <w:rPr>
              <w:rFonts w:ascii="Times New Roman" w:hAnsi="Times New Roman" w:cs="Times New Roman"/>
              <w:sz w:val="24"/>
              <w:szCs w:val="24"/>
            </w:rPr>
            <w:fldChar w:fldCharType="begin"/>
          </w:r>
          <w:r w:rsidR="000D2EC5" w:rsidRPr="003846C2">
            <w:rPr>
              <w:rFonts w:ascii="Times New Roman" w:hAnsi="Times New Roman" w:cs="Times New Roman"/>
              <w:sz w:val="24"/>
              <w:szCs w:val="24"/>
            </w:rPr>
            <w:instrText xml:space="preserve"> CITATION Ins \l 1033 </w:instrText>
          </w:r>
          <w:r w:rsidR="000D2EC5" w:rsidRPr="003846C2">
            <w:rPr>
              <w:rFonts w:ascii="Times New Roman" w:hAnsi="Times New Roman" w:cs="Times New Roman"/>
              <w:sz w:val="24"/>
              <w:szCs w:val="24"/>
            </w:rPr>
            <w:fldChar w:fldCharType="separate"/>
          </w:r>
          <w:r w:rsidR="000D2EC5" w:rsidRPr="003846C2">
            <w:rPr>
              <w:rFonts w:ascii="Times New Roman" w:hAnsi="Times New Roman" w:cs="Times New Roman"/>
              <w:noProof/>
              <w:sz w:val="24"/>
              <w:szCs w:val="24"/>
            </w:rPr>
            <w:t xml:space="preserve"> (Institute)</w:t>
          </w:r>
          <w:r w:rsidR="000D2EC5" w:rsidRPr="003846C2">
            <w:rPr>
              <w:rFonts w:ascii="Times New Roman" w:hAnsi="Times New Roman" w:cs="Times New Roman"/>
              <w:sz w:val="24"/>
              <w:szCs w:val="24"/>
            </w:rPr>
            <w:fldChar w:fldCharType="end"/>
          </w:r>
        </w:sdtContent>
      </w:sdt>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However, the above figure does not account for claims for flood damage. The flood damage was insured under the National Flood Insurance Program (NFIP), which is an insurance of the federal government. According to Insurance Information Institute, the Sandy hurricane generated about 250,000 dollars claims from vehicle owners, about 1.1 million dollars claims from homeowners and more than 200,000 dollars claims from business owners. Even though the business claims then accounted for about 13% of the total claims, currently it accounts for 48% of the total amount paid in dollars. This is simply because a commercial property has a higher </w:t>
      </w:r>
      <w:r w:rsidRPr="003846C2">
        <w:rPr>
          <w:rFonts w:ascii="Times New Roman" w:hAnsi="Times New Roman" w:cs="Times New Roman"/>
          <w:sz w:val="24"/>
          <w:szCs w:val="24"/>
        </w:rPr>
        <w:lastRenderedPageBreak/>
        <w:t>value than that of a residential one. In addition to that, the businesses are compensated for the lost profits during the catastrophe.</w:t>
      </w:r>
    </w:p>
    <w:p w:rsidR="009173CE" w:rsidRPr="003846C2" w:rsidRDefault="009173CE" w:rsidP="003846C2">
      <w:pPr>
        <w:spacing w:line="480" w:lineRule="auto"/>
        <w:rPr>
          <w:rFonts w:ascii="Times New Roman" w:hAnsi="Times New Roman" w:cs="Times New Roman"/>
          <w:b/>
          <w:sz w:val="24"/>
          <w:szCs w:val="24"/>
        </w:rPr>
      </w:pPr>
      <w:r w:rsidRPr="003846C2">
        <w:rPr>
          <w:rFonts w:ascii="Times New Roman" w:hAnsi="Times New Roman" w:cs="Times New Roman"/>
          <w:b/>
          <w:sz w:val="24"/>
          <w:szCs w:val="24"/>
        </w:rPr>
        <w:t>How the Insurance System Works</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The Insurance system works based on risk-based premiums. The greater the risk of suffering damage the more one pays for the premiums. Therefore, it is only logical for a property owner who has a building in an area prone to catastrophes to pay more for insurance than a property owner with a building in an area with less risk. It is very necessary for Insurance providers to charge property owners and homeowners on risk-based premiums because the providers want to remain financially solvent and have enough resources to pay them in the event of damage.</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Regulators are forced to control the licensing of insurance companies, examine financial health and reporting of insurers and review their market performance so that to strike a balance in the Insurance system. The primary regulators of insurance firms in the United States are the state governments. In New York State, the primary regulatory body is the Department of Financial Services. It controls the insurance market by reviewing and approving rates for property owners and homeowners policies.</w:t>
      </w:r>
      <w:sdt>
        <w:sdtPr>
          <w:rPr>
            <w:rFonts w:ascii="Times New Roman" w:hAnsi="Times New Roman" w:cs="Times New Roman"/>
            <w:sz w:val="24"/>
            <w:szCs w:val="24"/>
          </w:rPr>
          <w:id w:val="-1435744763"/>
          <w:citation/>
        </w:sdtPr>
        <w:sdtEndPr/>
        <w:sdtContent>
          <w:r w:rsidR="000D2EC5" w:rsidRPr="003846C2">
            <w:rPr>
              <w:rFonts w:ascii="Times New Roman" w:hAnsi="Times New Roman" w:cs="Times New Roman"/>
              <w:sz w:val="24"/>
              <w:szCs w:val="24"/>
            </w:rPr>
            <w:fldChar w:fldCharType="begin"/>
          </w:r>
          <w:r w:rsidR="000D2EC5" w:rsidRPr="003846C2">
            <w:rPr>
              <w:rFonts w:ascii="Times New Roman" w:hAnsi="Times New Roman" w:cs="Times New Roman"/>
              <w:sz w:val="24"/>
              <w:szCs w:val="24"/>
            </w:rPr>
            <w:instrText xml:space="preserve"> CITATION Dam15 \l 1033 </w:instrText>
          </w:r>
          <w:r w:rsidR="000D2EC5" w:rsidRPr="003846C2">
            <w:rPr>
              <w:rFonts w:ascii="Times New Roman" w:hAnsi="Times New Roman" w:cs="Times New Roman"/>
              <w:sz w:val="24"/>
              <w:szCs w:val="24"/>
            </w:rPr>
            <w:fldChar w:fldCharType="separate"/>
          </w:r>
          <w:r w:rsidR="000D2EC5" w:rsidRPr="003846C2">
            <w:rPr>
              <w:rFonts w:ascii="Times New Roman" w:hAnsi="Times New Roman" w:cs="Times New Roman"/>
              <w:noProof/>
              <w:sz w:val="24"/>
              <w:szCs w:val="24"/>
            </w:rPr>
            <w:t xml:space="preserve"> (Winter &amp; Times, 2015)</w:t>
          </w:r>
          <w:r w:rsidR="000D2EC5" w:rsidRPr="003846C2">
            <w:rPr>
              <w:rFonts w:ascii="Times New Roman" w:hAnsi="Times New Roman" w:cs="Times New Roman"/>
              <w:sz w:val="24"/>
              <w:szCs w:val="24"/>
            </w:rPr>
            <w:fldChar w:fldCharType="end"/>
          </w:r>
        </w:sdtContent>
      </w:sdt>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Insurance coverage for losses is provided through a set of package policies. Policies such as commercial property and standard homeowners’ policies cover a variety of risks or causes of damage such as fire, theft, and hailstorms. However, flooding insurance is excluded from the package and must be secured through a separate policy. This is because flooding is a catastrophic risk, which has a low probability of occurrence. As a result, most business owners and individuals choose not to secure insurance for such risks. They tend to underestimate the possibility of the catastrophes affecting them.</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lastRenderedPageBreak/>
        <w:t xml:space="preserve">    In fact, even after purchasing the catastrophic coverage after being struck by a natural disaster, many of these same property owners if they had not made any claims later let their policies lapse. This is the same case for those who are even required by the law to have the coverage, for example, federally backed mortgages. On the other hand, lenders have been less vigilant in enforcing purchase of catastrophic risks like floods.</w:t>
      </w:r>
    </w:p>
    <w:p w:rsidR="009173CE" w:rsidRPr="003846C2" w:rsidRDefault="009173CE" w:rsidP="003846C2">
      <w:pPr>
        <w:spacing w:line="480" w:lineRule="auto"/>
        <w:rPr>
          <w:rFonts w:ascii="Times New Roman" w:hAnsi="Times New Roman" w:cs="Times New Roman"/>
          <w:b/>
          <w:sz w:val="24"/>
          <w:szCs w:val="24"/>
        </w:rPr>
      </w:pPr>
      <w:r w:rsidRPr="003846C2">
        <w:rPr>
          <w:rFonts w:ascii="Times New Roman" w:hAnsi="Times New Roman" w:cs="Times New Roman"/>
          <w:b/>
          <w:sz w:val="24"/>
          <w:szCs w:val="24"/>
        </w:rPr>
        <w:t>Insurance Coverage Issues that affected New York</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Many New York residents focused their attention on flood insurance after extensive flood damage from the storm. The private market had provided most of the large commercial properties with insurance, which included flood insurance. On the other hand, even though homeowners in the city were covered by homeowner insurance, the policies associated with the insurance did not cover for flood damage. Therefore, these homeowners and small business owners needed to have purchased flood coverage policies through the National Flood Insurance Program, which is run by FEMA (Federal Emergency Management Agency), so that they were covered for the flood damage.</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When the hurricane struck, most property owners in New York that were affected by it did not have sufficient flood insurance. Some did not have any flood insurance at all. There were several reasons for such a hiccup in the insurance of these properties. Take, for example, more than half of the owners of the commercial and residential buildings affected by the floods did not have their property inside of the FEMA’s 100-year floodplain. The owners were probably unaware of the risks they could face in future and they may not have been required to have flood insurance by the terms of their mortgages.</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lastRenderedPageBreak/>
        <w:t xml:space="preserve">    Even those in the floodplain, the insurance did not cover for flood damage. There were only less than 50% of the residential properties that were in the Pre-Sandy 100-year floodplain and had flood insurance. This was either because the property owners and their mortgages lenders did not comply or enforce the terms of their mortgages or because the property owners did not have mortgages. Meanwhile, after Sandy, many who had been insured discovered that they were covered for some but not all losses. For example, damages in the basements were not covered for.</w:t>
      </w:r>
    </w:p>
    <w:p w:rsidR="009173CE" w:rsidRPr="003846C2" w:rsidRDefault="009173CE" w:rsidP="003846C2">
      <w:pPr>
        <w:spacing w:line="480" w:lineRule="auto"/>
        <w:rPr>
          <w:rFonts w:ascii="Times New Roman" w:hAnsi="Times New Roman" w:cs="Times New Roman"/>
          <w:b/>
          <w:sz w:val="24"/>
          <w:szCs w:val="24"/>
        </w:rPr>
      </w:pPr>
      <w:r w:rsidRPr="003846C2">
        <w:rPr>
          <w:rFonts w:ascii="Times New Roman" w:hAnsi="Times New Roman" w:cs="Times New Roman"/>
          <w:b/>
          <w:sz w:val="24"/>
          <w:szCs w:val="24"/>
        </w:rPr>
        <w:t>Gaps in Insurance Coverage</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    After hurricane Sandy several gaps in the Insurance coverage especially flood insurance were revealed. These hiccups should have been given priority attention in efforts to increase the City’s resilience in the event of another catastrophe. The two main gaps in the NFIP coverage for residential structures were lack of coverage for living expenses and lack of basement coverage.     For commercial properties, there was lack of basement coverage, lack of business-interruption coverage and insufficient coverage for mixed-use buildings. Commercial properties under private insurance faced the problem of lack of business interruption and inconsistent coverage for area closures imposed by civil authorities. All these gaps reduce the attractiveness of both NFIP policies and private insurance policies.</w:t>
      </w:r>
    </w:p>
    <w:p w:rsidR="009173CE" w:rsidRPr="003846C2" w:rsidRDefault="009173CE" w:rsidP="003846C2">
      <w:pPr>
        <w:spacing w:line="480" w:lineRule="auto"/>
        <w:rPr>
          <w:rFonts w:ascii="Times New Roman" w:hAnsi="Times New Roman" w:cs="Times New Roman"/>
          <w:b/>
          <w:sz w:val="24"/>
          <w:szCs w:val="24"/>
        </w:rPr>
      </w:pPr>
      <w:r w:rsidRPr="003846C2">
        <w:rPr>
          <w:rFonts w:ascii="Times New Roman" w:hAnsi="Times New Roman" w:cs="Times New Roman"/>
          <w:b/>
          <w:sz w:val="24"/>
          <w:szCs w:val="24"/>
        </w:rPr>
        <w:t xml:space="preserve">Policy Options to Address Insurance Affordability </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As a result, of the Biggert-Waters Act, the insurance risk-based premiums in some areas are expected to increase notably.  However, this could be a problem to the low-income residents who may not be able to afford the purchase.</w:t>
      </w:r>
      <w:r w:rsidR="00746A04" w:rsidRPr="003846C2">
        <w:rPr>
          <w:rFonts w:ascii="Times New Roman" w:hAnsi="Times New Roman" w:cs="Times New Roman"/>
          <w:sz w:val="24"/>
          <w:szCs w:val="24"/>
        </w:rPr>
        <w:t xml:space="preserve"> The tension between setting insurance premiums that deal risks with affordability needs to be released.</w:t>
      </w:r>
      <w:sdt>
        <w:sdtPr>
          <w:rPr>
            <w:rFonts w:ascii="Times New Roman" w:hAnsi="Times New Roman" w:cs="Times New Roman"/>
            <w:sz w:val="24"/>
            <w:szCs w:val="24"/>
          </w:rPr>
          <w:id w:val="-580914834"/>
          <w:citation/>
        </w:sdtPr>
        <w:sdtEndPr/>
        <w:sdtContent>
          <w:r w:rsidR="000D2EC5" w:rsidRPr="003846C2">
            <w:rPr>
              <w:rFonts w:ascii="Times New Roman" w:hAnsi="Times New Roman" w:cs="Times New Roman"/>
              <w:sz w:val="24"/>
              <w:szCs w:val="24"/>
            </w:rPr>
            <w:fldChar w:fldCharType="begin"/>
          </w:r>
          <w:r w:rsidR="000D2EC5" w:rsidRPr="003846C2">
            <w:rPr>
              <w:rFonts w:ascii="Times New Roman" w:hAnsi="Times New Roman" w:cs="Times New Roman"/>
              <w:sz w:val="24"/>
              <w:szCs w:val="24"/>
            </w:rPr>
            <w:instrText xml:space="preserve"> CITATION Car14 \l 1033 </w:instrText>
          </w:r>
          <w:r w:rsidR="000D2EC5" w:rsidRPr="003846C2">
            <w:rPr>
              <w:rFonts w:ascii="Times New Roman" w:hAnsi="Times New Roman" w:cs="Times New Roman"/>
              <w:sz w:val="24"/>
              <w:szCs w:val="24"/>
            </w:rPr>
            <w:fldChar w:fldCharType="separate"/>
          </w:r>
          <w:r w:rsidR="000D2EC5" w:rsidRPr="003846C2">
            <w:rPr>
              <w:rFonts w:ascii="Times New Roman" w:hAnsi="Times New Roman" w:cs="Times New Roman"/>
              <w:noProof/>
              <w:sz w:val="24"/>
              <w:szCs w:val="24"/>
            </w:rPr>
            <w:t xml:space="preserve"> (Kousky &amp; Kunreuther, 2014)</w:t>
          </w:r>
          <w:r w:rsidR="000D2EC5" w:rsidRPr="003846C2">
            <w:rPr>
              <w:rFonts w:ascii="Times New Roman" w:hAnsi="Times New Roman" w:cs="Times New Roman"/>
              <w:sz w:val="24"/>
              <w:szCs w:val="24"/>
            </w:rPr>
            <w:fldChar w:fldCharType="end"/>
          </w:r>
        </w:sdtContent>
      </w:sdt>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lastRenderedPageBreak/>
        <w:t>Two approach</w:t>
      </w:r>
      <w:r w:rsidR="00746A04" w:rsidRPr="003846C2">
        <w:rPr>
          <w:rFonts w:ascii="Times New Roman" w:hAnsi="Times New Roman" w:cs="Times New Roman"/>
          <w:sz w:val="24"/>
          <w:szCs w:val="24"/>
        </w:rPr>
        <w:t>es could be used to address this</w:t>
      </w:r>
      <w:r w:rsidRPr="003846C2">
        <w:rPr>
          <w:rFonts w:ascii="Times New Roman" w:hAnsi="Times New Roman" w:cs="Times New Roman"/>
          <w:sz w:val="24"/>
          <w:szCs w:val="24"/>
        </w:rPr>
        <w:t xml:space="preserve"> issue. One approach would be to have a national voucher program that is consistent with Biggert-Waters authorization of a FEMA-National Academy of Sciences study of affordability. This would be a means-tested flood insurance voucher program for low-income homeowners in flood-prone areas. For example, a low-income homeowner could receive a voucher worth, for example, $350 voucher then he or she would be required to use it to secure flood insurance. If the total flood insurance were $1200, then the out-of-pocket expenses for the homeowner would be $850.</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Another complementary tool that would be effective in reducing the expense of insurance is mitigation (premium reduction). For example, if a homeowner decides to invest in mitigation scheme that reduces annually expected damages then his or her premium should decrease by the same amount as the losses. The expected lower claim payments from foreseeable flood damage would result in a decrease in premium. For example, if the homeowner with a $1200 flood insurance invested in the mitigation scheme and received a $350 voucher, then has the reduction of $200 annually from mitigation scheme, the individual would have to buy a premium of $650.</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Going forward, the private insurance market is expected to remain very competitive even despite the great losses from Sandy and other hurricanes that have struck recently. Reforms to the NFIP have been enacted after Sandy, however; property owners and homeowners who have been insured by private insurance companies have seen large and permanent increases in the premium rates.</w:t>
      </w:r>
    </w:p>
    <w:p w:rsidR="009173CE" w:rsidRPr="003846C2" w:rsidRDefault="009173CE" w:rsidP="003846C2">
      <w:pPr>
        <w:spacing w:line="480" w:lineRule="auto"/>
        <w:rPr>
          <w:rFonts w:ascii="Times New Roman" w:hAnsi="Times New Roman" w:cs="Times New Roman"/>
          <w:b/>
          <w:sz w:val="24"/>
          <w:szCs w:val="24"/>
        </w:rPr>
      </w:pPr>
      <w:r w:rsidRPr="003846C2">
        <w:rPr>
          <w:rFonts w:ascii="Times New Roman" w:hAnsi="Times New Roman" w:cs="Times New Roman"/>
          <w:b/>
          <w:sz w:val="24"/>
          <w:szCs w:val="24"/>
        </w:rPr>
        <w:t>Conclusion</w:t>
      </w:r>
    </w:p>
    <w:p w:rsidR="009173CE" w:rsidRPr="003846C2" w:rsidRDefault="009173CE" w:rsidP="003846C2">
      <w:pPr>
        <w:spacing w:line="480" w:lineRule="auto"/>
        <w:rPr>
          <w:rFonts w:ascii="Times New Roman" w:hAnsi="Times New Roman" w:cs="Times New Roman"/>
          <w:sz w:val="24"/>
          <w:szCs w:val="24"/>
        </w:rPr>
      </w:pPr>
      <w:r w:rsidRPr="003846C2">
        <w:rPr>
          <w:rFonts w:ascii="Times New Roman" w:hAnsi="Times New Roman" w:cs="Times New Roman"/>
          <w:sz w:val="24"/>
          <w:szCs w:val="24"/>
        </w:rPr>
        <w:t xml:space="preserve">Property owners and homeowners in all states in the US should take the time and carefully read their current insurance policies and discuss with their insurance brokers what is covered and </w:t>
      </w:r>
      <w:r w:rsidRPr="003846C2">
        <w:rPr>
          <w:rFonts w:ascii="Times New Roman" w:hAnsi="Times New Roman" w:cs="Times New Roman"/>
          <w:sz w:val="24"/>
          <w:szCs w:val="24"/>
        </w:rPr>
        <w:lastRenderedPageBreak/>
        <w:t>where the gaps are. It is also necessary to determine if the limits of liability complement the current value of the dollar of the coast or replacement or repair of damage. Business owners should also consider adding a prolonged period of indemnity clause to the business-interruption coverage. This will ensure that the insurance supports the business until it returns to the point of pre-loss financial condition.</w:t>
      </w:r>
    </w:p>
    <w:p w:rsidR="004B421F" w:rsidRPr="003846C2" w:rsidRDefault="004B421F"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p w:rsidR="000D2EC5" w:rsidRPr="003846C2" w:rsidRDefault="000D2EC5" w:rsidP="003846C2">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443125221"/>
        <w:docPartObj>
          <w:docPartGallery w:val="Bibliographies"/>
          <w:docPartUnique/>
        </w:docPartObj>
      </w:sdtPr>
      <w:sdtEndPr/>
      <w:sdtContent>
        <w:p w:rsidR="000D2EC5" w:rsidRPr="004208D9" w:rsidRDefault="003846C2" w:rsidP="003846C2">
          <w:pPr>
            <w:pStyle w:val="Heading1"/>
            <w:spacing w:line="480" w:lineRule="auto"/>
            <w:jc w:val="center"/>
            <w:rPr>
              <w:rFonts w:ascii="Times New Roman" w:hAnsi="Times New Roman" w:cs="Times New Roman"/>
              <w:color w:val="000000" w:themeColor="text1"/>
              <w:sz w:val="24"/>
              <w:szCs w:val="24"/>
            </w:rPr>
          </w:pPr>
          <w:r w:rsidRPr="004208D9">
            <w:rPr>
              <w:rFonts w:ascii="Times New Roman" w:hAnsi="Times New Roman" w:cs="Times New Roman"/>
              <w:color w:val="000000" w:themeColor="text1"/>
              <w:sz w:val="24"/>
              <w:szCs w:val="24"/>
            </w:rPr>
            <w:t>References</w:t>
          </w:r>
        </w:p>
        <w:sdt>
          <w:sdtPr>
            <w:rPr>
              <w:rFonts w:ascii="Times New Roman" w:hAnsi="Times New Roman" w:cs="Times New Roman"/>
              <w:sz w:val="24"/>
              <w:szCs w:val="24"/>
            </w:rPr>
            <w:id w:val="111145805"/>
            <w:bibliography/>
          </w:sdtPr>
          <w:sdtEndPr/>
          <w:sdtContent>
            <w:p w:rsidR="000D2EC5" w:rsidRPr="003846C2" w:rsidRDefault="000D2EC5" w:rsidP="003846C2">
              <w:pPr>
                <w:pStyle w:val="Bibliography"/>
                <w:spacing w:line="480" w:lineRule="auto"/>
                <w:ind w:left="720" w:hanging="720"/>
                <w:rPr>
                  <w:rFonts w:ascii="Times New Roman" w:hAnsi="Times New Roman" w:cs="Times New Roman"/>
                  <w:noProof/>
                  <w:sz w:val="24"/>
                  <w:szCs w:val="24"/>
                </w:rPr>
              </w:pPr>
              <w:r w:rsidRPr="003846C2">
                <w:rPr>
                  <w:rFonts w:ascii="Times New Roman" w:hAnsi="Times New Roman" w:cs="Times New Roman"/>
                  <w:sz w:val="24"/>
                  <w:szCs w:val="24"/>
                </w:rPr>
                <w:fldChar w:fldCharType="begin"/>
              </w:r>
              <w:r w:rsidRPr="003846C2">
                <w:rPr>
                  <w:rFonts w:ascii="Times New Roman" w:hAnsi="Times New Roman" w:cs="Times New Roman"/>
                  <w:sz w:val="24"/>
                  <w:szCs w:val="24"/>
                </w:rPr>
                <w:instrText xml:space="preserve"> BIBLIOGRAPHY </w:instrText>
              </w:r>
              <w:r w:rsidRPr="003846C2">
                <w:rPr>
                  <w:rFonts w:ascii="Times New Roman" w:hAnsi="Times New Roman" w:cs="Times New Roman"/>
                  <w:sz w:val="24"/>
                  <w:szCs w:val="24"/>
                </w:rPr>
                <w:fldChar w:fldCharType="separate"/>
              </w:r>
              <w:r w:rsidRPr="003846C2">
                <w:rPr>
                  <w:rFonts w:ascii="Times New Roman" w:hAnsi="Times New Roman" w:cs="Times New Roman"/>
                  <w:noProof/>
                  <w:sz w:val="24"/>
                  <w:szCs w:val="24"/>
                </w:rPr>
                <w:t xml:space="preserve">Dixon, L., Clancy, N., Bender, B., Kofner, A., Manheim, D., &amp; Zakaras, L. (2013). Flood Insurance in New York City Following Hurricane Sandy. </w:t>
              </w:r>
              <w:r w:rsidRPr="003846C2">
                <w:rPr>
                  <w:rFonts w:ascii="Times New Roman" w:hAnsi="Times New Roman" w:cs="Times New Roman"/>
                  <w:i/>
                  <w:iCs/>
                  <w:noProof/>
                  <w:sz w:val="24"/>
                  <w:szCs w:val="24"/>
                </w:rPr>
                <w:t>Center for Catastrophic Risk Management and Compensation</w:t>
              </w:r>
              <w:r w:rsidRPr="003846C2">
                <w:rPr>
                  <w:rFonts w:ascii="Times New Roman" w:hAnsi="Times New Roman" w:cs="Times New Roman"/>
                  <w:noProof/>
                  <w:sz w:val="24"/>
                  <w:szCs w:val="24"/>
                </w:rPr>
                <w:t>, 1.</w:t>
              </w:r>
            </w:p>
            <w:p w:rsidR="000D2EC5" w:rsidRPr="003846C2" w:rsidRDefault="000D2EC5" w:rsidP="003846C2">
              <w:pPr>
                <w:pStyle w:val="Bibliography"/>
                <w:spacing w:line="480" w:lineRule="auto"/>
                <w:ind w:left="720" w:hanging="720"/>
                <w:rPr>
                  <w:rFonts w:ascii="Times New Roman" w:hAnsi="Times New Roman" w:cs="Times New Roman"/>
                  <w:noProof/>
                  <w:sz w:val="24"/>
                  <w:szCs w:val="24"/>
                </w:rPr>
              </w:pPr>
              <w:r w:rsidRPr="003846C2">
                <w:rPr>
                  <w:rFonts w:ascii="Times New Roman" w:hAnsi="Times New Roman" w:cs="Times New Roman"/>
                  <w:noProof/>
                  <w:sz w:val="24"/>
                  <w:szCs w:val="24"/>
                </w:rPr>
                <w:t xml:space="preserve">Institute, I. I. (n.d.). National Flood Insurance Program. </w:t>
              </w:r>
              <w:r w:rsidRPr="003846C2">
                <w:rPr>
                  <w:rFonts w:ascii="Times New Roman" w:hAnsi="Times New Roman" w:cs="Times New Roman"/>
                  <w:i/>
                  <w:iCs/>
                  <w:noProof/>
                  <w:sz w:val="24"/>
                  <w:szCs w:val="24"/>
                </w:rPr>
                <w:t>Facts+Statistics:Flood Insurance</w:t>
              </w:r>
              <w:r w:rsidRPr="003846C2">
                <w:rPr>
                  <w:rFonts w:ascii="Times New Roman" w:hAnsi="Times New Roman" w:cs="Times New Roman"/>
                  <w:noProof/>
                  <w:sz w:val="24"/>
                  <w:szCs w:val="24"/>
                </w:rPr>
                <w:t>.</w:t>
              </w:r>
            </w:p>
            <w:p w:rsidR="000D2EC5" w:rsidRPr="003846C2" w:rsidRDefault="000D2EC5" w:rsidP="003846C2">
              <w:pPr>
                <w:pStyle w:val="Bibliography"/>
                <w:spacing w:line="480" w:lineRule="auto"/>
                <w:ind w:left="720" w:hanging="720"/>
                <w:rPr>
                  <w:rFonts w:ascii="Times New Roman" w:hAnsi="Times New Roman" w:cs="Times New Roman"/>
                  <w:noProof/>
                  <w:sz w:val="24"/>
                  <w:szCs w:val="24"/>
                </w:rPr>
              </w:pPr>
              <w:r w:rsidRPr="003846C2">
                <w:rPr>
                  <w:rFonts w:ascii="Times New Roman" w:hAnsi="Times New Roman" w:cs="Times New Roman"/>
                  <w:noProof/>
                  <w:sz w:val="24"/>
                  <w:szCs w:val="24"/>
                </w:rPr>
                <w:t xml:space="preserve">Kousky, C., &amp; Kunreuther, H. (2014). Addressing Affordability in the National Flood Insurance Program. </w:t>
              </w:r>
              <w:r w:rsidRPr="003846C2">
                <w:rPr>
                  <w:rFonts w:ascii="Times New Roman" w:hAnsi="Times New Roman" w:cs="Times New Roman"/>
                  <w:i/>
                  <w:iCs/>
                  <w:noProof/>
                  <w:sz w:val="24"/>
                  <w:szCs w:val="24"/>
                </w:rPr>
                <w:t>Journal of Extreme Events</w:t>
              </w:r>
              <w:r w:rsidRPr="003846C2">
                <w:rPr>
                  <w:rFonts w:ascii="Times New Roman" w:hAnsi="Times New Roman" w:cs="Times New Roman"/>
                  <w:noProof/>
                  <w:sz w:val="24"/>
                  <w:szCs w:val="24"/>
                </w:rPr>
                <w:t>, 28.</w:t>
              </w:r>
            </w:p>
            <w:p w:rsidR="000D2EC5" w:rsidRPr="003846C2" w:rsidRDefault="000D2EC5" w:rsidP="003846C2">
              <w:pPr>
                <w:pStyle w:val="Bibliography"/>
                <w:spacing w:line="480" w:lineRule="auto"/>
                <w:ind w:left="720" w:hanging="720"/>
                <w:rPr>
                  <w:rFonts w:ascii="Times New Roman" w:hAnsi="Times New Roman" w:cs="Times New Roman"/>
                  <w:noProof/>
                  <w:sz w:val="24"/>
                  <w:szCs w:val="24"/>
                </w:rPr>
              </w:pPr>
              <w:r w:rsidRPr="003846C2">
                <w:rPr>
                  <w:rFonts w:ascii="Times New Roman" w:hAnsi="Times New Roman" w:cs="Times New Roman"/>
                  <w:noProof/>
                  <w:sz w:val="24"/>
                  <w:szCs w:val="24"/>
                </w:rPr>
                <w:t xml:space="preserve">Winter, D., &amp; Times, T. N. (2015). </w:t>
              </w:r>
              <w:r w:rsidRPr="003846C2">
                <w:rPr>
                  <w:rFonts w:ascii="Times New Roman" w:hAnsi="Times New Roman" w:cs="Times New Roman"/>
                  <w:i/>
                  <w:iCs/>
                  <w:noProof/>
                  <w:sz w:val="24"/>
                  <w:szCs w:val="24"/>
                </w:rPr>
                <w:t>Insurance.</w:t>
              </w:r>
              <w:r w:rsidRPr="003846C2">
                <w:rPr>
                  <w:rFonts w:ascii="Times New Roman" w:hAnsi="Times New Roman" w:cs="Times New Roman"/>
                  <w:noProof/>
                  <w:sz w:val="24"/>
                  <w:szCs w:val="24"/>
                </w:rPr>
                <w:t xml:space="preserve"> New York : New York City Government.</w:t>
              </w:r>
            </w:p>
            <w:p w:rsidR="000D2EC5" w:rsidRPr="003846C2" w:rsidRDefault="000D2EC5" w:rsidP="003846C2">
              <w:pPr>
                <w:spacing w:line="480" w:lineRule="auto"/>
                <w:rPr>
                  <w:rFonts w:ascii="Times New Roman" w:hAnsi="Times New Roman" w:cs="Times New Roman"/>
                  <w:sz w:val="24"/>
                  <w:szCs w:val="24"/>
                </w:rPr>
              </w:pPr>
              <w:r w:rsidRPr="003846C2">
                <w:rPr>
                  <w:rFonts w:ascii="Times New Roman" w:hAnsi="Times New Roman" w:cs="Times New Roman"/>
                  <w:b/>
                  <w:bCs/>
                  <w:noProof/>
                  <w:sz w:val="24"/>
                  <w:szCs w:val="24"/>
                </w:rPr>
                <w:fldChar w:fldCharType="end"/>
              </w:r>
            </w:p>
          </w:sdtContent>
        </w:sdt>
      </w:sdtContent>
    </w:sdt>
    <w:p w:rsidR="000D2EC5" w:rsidRPr="003846C2" w:rsidRDefault="000D2EC5" w:rsidP="003846C2">
      <w:pPr>
        <w:spacing w:line="480" w:lineRule="auto"/>
        <w:rPr>
          <w:rFonts w:ascii="Times New Roman" w:hAnsi="Times New Roman" w:cs="Times New Roman"/>
          <w:sz w:val="24"/>
          <w:szCs w:val="24"/>
        </w:rPr>
      </w:pPr>
    </w:p>
    <w:sectPr w:rsidR="000D2EC5" w:rsidRPr="003846C2" w:rsidSect="004208D9">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836" w:rsidRDefault="00D10836" w:rsidP="004208D9">
      <w:pPr>
        <w:spacing w:after="0" w:line="240" w:lineRule="auto"/>
      </w:pPr>
      <w:r>
        <w:separator/>
      </w:r>
    </w:p>
  </w:endnote>
  <w:endnote w:type="continuationSeparator" w:id="0">
    <w:p w:rsidR="00D10836" w:rsidRDefault="00D10836" w:rsidP="00420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836" w:rsidRDefault="00D10836" w:rsidP="004208D9">
      <w:pPr>
        <w:spacing w:after="0" w:line="240" w:lineRule="auto"/>
      </w:pPr>
      <w:r>
        <w:separator/>
      </w:r>
    </w:p>
  </w:footnote>
  <w:footnote w:type="continuationSeparator" w:id="0">
    <w:p w:rsidR="00D10836" w:rsidRDefault="00D10836" w:rsidP="00420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8D9" w:rsidRDefault="004208D9" w:rsidP="004208D9">
    <w:pPr>
      <w:pStyle w:val="Header"/>
    </w:pPr>
    <w:r>
      <w:t xml:space="preserve">Running head; </w:t>
    </w:r>
    <w:sdt>
      <w:sdtPr>
        <w:id w:val="-150059592"/>
        <w:docPartObj>
          <w:docPartGallery w:val="Page Numbers (Top of Page)"/>
          <w:docPartUnique/>
        </w:docPartObj>
      </w:sdtPr>
      <w:sdtEndPr>
        <w:rPr>
          <w:noProof/>
        </w:rPr>
      </w:sdtEndPr>
      <w:sdtContent>
        <w:r w:rsidR="00AE0A32">
          <w:t>FLOOD INSURANCE AFTER HURRICANE SANDY</w:t>
        </w:r>
        <w:r>
          <w:tab/>
        </w:r>
        <w:r>
          <w:fldChar w:fldCharType="begin"/>
        </w:r>
        <w:r>
          <w:instrText xml:space="preserve"> PAGE   \* MERGEFORMAT </w:instrText>
        </w:r>
        <w:r>
          <w:fldChar w:fldCharType="separate"/>
        </w:r>
        <w:r w:rsidR="009C4878">
          <w:rPr>
            <w:noProof/>
          </w:rPr>
          <w:t>1</w:t>
        </w:r>
        <w:r>
          <w:rPr>
            <w:noProof/>
          </w:rPr>
          <w:fldChar w:fldCharType="end"/>
        </w:r>
      </w:sdtContent>
    </w:sdt>
  </w:p>
  <w:p w:rsidR="004208D9" w:rsidRDefault="004208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B6A"/>
    <w:rsid w:val="00014736"/>
    <w:rsid w:val="00035CF4"/>
    <w:rsid w:val="0003753A"/>
    <w:rsid w:val="00042660"/>
    <w:rsid w:val="000824C7"/>
    <w:rsid w:val="00090876"/>
    <w:rsid w:val="000B3A8D"/>
    <w:rsid w:val="000D2EC5"/>
    <w:rsid w:val="000E49F9"/>
    <w:rsid w:val="000F2C97"/>
    <w:rsid w:val="00114E2C"/>
    <w:rsid w:val="00127E5D"/>
    <w:rsid w:val="00180464"/>
    <w:rsid w:val="001C5B9B"/>
    <w:rsid w:val="001F1473"/>
    <w:rsid w:val="002111F6"/>
    <w:rsid w:val="002241DA"/>
    <w:rsid w:val="0033746A"/>
    <w:rsid w:val="0036744C"/>
    <w:rsid w:val="003846C2"/>
    <w:rsid w:val="003A6661"/>
    <w:rsid w:val="003C3BED"/>
    <w:rsid w:val="003E2756"/>
    <w:rsid w:val="003E421B"/>
    <w:rsid w:val="00404B6A"/>
    <w:rsid w:val="004121D8"/>
    <w:rsid w:val="004208D9"/>
    <w:rsid w:val="004314DA"/>
    <w:rsid w:val="00481EEC"/>
    <w:rsid w:val="004870C9"/>
    <w:rsid w:val="004925DF"/>
    <w:rsid w:val="00492B48"/>
    <w:rsid w:val="004B421F"/>
    <w:rsid w:val="004B78E5"/>
    <w:rsid w:val="004E7FCC"/>
    <w:rsid w:val="00530158"/>
    <w:rsid w:val="00532490"/>
    <w:rsid w:val="00542556"/>
    <w:rsid w:val="005A41BA"/>
    <w:rsid w:val="005D1201"/>
    <w:rsid w:val="005E18EC"/>
    <w:rsid w:val="005E3C2C"/>
    <w:rsid w:val="0064052C"/>
    <w:rsid w:val="006610A4"/>
    <w:rsid w:val="00666CF1"/>
    <w:rsid w:val="0067069C"/>
    <w:rsid w:val="00742C1D"/>
    <w:rsid w:val="00746A04"/>
    <w:rsid w:val="00794D82"/>
    <w:rsid w:val="007968BA"/>
    <w:rsid w:val="007A3252"/>
    <w:rsid w:val="007A471E"/>
    <w:rsid w:val="007C5A67"/>
    <w:rsid w:val="00803500"/>
    <w:rsid w:val="00816547"/>
    <w:rsid w:val="0083782D"/>
    <w:rsid w:val="00847C0D"/>
    <w:rsid w:val="008503FE"/>
    <w:rsid w:val="008A188E"/>
    <w:rsid w:val="008C0EDA"/>
    <w:rsid w:val="008D6F62"/>
    <w:rsid w:val="008E6D8F"/>
    <w:rsid w:val="00911F22"/>
    <w:rsid w:val="009173CE"/>
    <w:rsid w:val="00921C23"/>
    <w:rsid w:val="009868BC"/>
    <w:rsid w:val="00996F44"/>
    <w:rsid w:val="009C4878"/>
    <w:rsid w:val="00A30B38"/>
    <w:rsid w:val="00A33854"/>
    <w:rsid w:val="00A855E6"/>
    <w:rsid w:val="00AA38BC"/>
    <w:rsid w:val="00AB7C13"/>
    <w:rsid w:val="00AD08B3"/>
    <w:rsid w:val="00AE0A32"/>
    <w:rsid w:val="00AF2DE9"/>
    <w:rsid w:val="00B0504B"/>
    <w:rsid w:val="00B72272"/>
    <w:rsid w:val="00B76A4E"/>
    <w:rsid w:val="00B90EFE"/>
    <w:rsid w:val="00BC5BEA"/>
    <w:rsid w:val="00BC73F6"/>
    <w:rsid w:val="00C17AEC"/>
    <w:rsid w:val="00C2474A"/>
    <w:rsid w:val="00C27E29"/>
    <w:rsid w:val="00C44E4D"/>
    <w:rsid w:val="00C55048"/>
    <w:rsid w:val="00C672B8"/>
    <w:rsid w:val="00C757ED"/>
    <w:rsid w:val="00C82CAE"/>
    <w:rsid w:val="00C97FF1"/>
    <w:rsid w:val="00CD4C77"/>
    <w:rsid w:val="00D10836"/>
    <w:rsid w:val="00D13BBB"/>
    <w:rsid w:val="00D22029"/>
    <w:rsid w:val="00D4047F"/>
    <w:rsid w:val="00D752A3"/>
    <w:rsid w:val="00D929A1"/>
    <w:rsid w:val="00D96D3E"/>
    <w:rsid w:val="00DE31C5"/>
    <w:rsid w:val="00DF41B7"/>
    <w:rsid w:val="00E017E8"/>
    <w:rsid w:val="00E55CC7"/>
    <w:rsid w:val="00EB2FF2"/>
    <w:rsid w:val="00EE68B6"/>
    <w:rsid w:val="00F47242"/>
    <w:rsid w:val="00F54ADE"/>
    <w:rsid w:val="00F8071A"/>
    <w:rsid w:val="00F850EC"/>
    <w:rsid w:val="00F940C1"/>
    <w:rsid w:val="00FB38C5"/>
    <w:rsid w:val="00FC0595"/>
    <w:rsid w:val="00FC1123"/>
    <w:rsid w:val="00FD20A2"/>
    <w:rsid w:val="00FE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D521F1-F90A-4B66-B6BC-67AF614C4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D2EC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4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D82"/>
    <w:rPr>
      <w:rFonts w:ascii="Tahoma" w:hAnsi="Tahoma" w:cs="Tahoma"/>
      <w:sz w:val="16"/>
      <w:szCs w:val="16"/>
    </w:rPr>
  </w:style>
  <w:style w:type="character" w:customStyle="1" w:styleId="Heading1Char">
    <w:name w:val="Heading 1 Char"/>
    <w:basedOn w:val="DefaultParagraphFont"/>
    <w:link w:val="Heading1"/>
    <w:uiPriority w:val="9"/>
    <w:rsid w:val="000D2EC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D2EC5"/>
  </w:style>
  <w:style w:type="paragraph" w:styleId="Header">
    <w:name w:val="header"/>
    <w:basedOn w:val="Normal"/>
    <w:link w:val="HeaderChar"/>
    <w:uiPriority w:val="99"/>
    <w:unhideWhenUsed/>
    <w:rsid w:val="00420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8D9"/>
  </w:style>
  <w:style w:type="paragraph" w:styleId="Footer">
    <w:name w:val="footer"/>
    <w:basedOn w:val="Normal"/>
    <w:link w:val="FooterChar"/>
    <w:uiPriority w:val="99"/>
    <w:unhideWhenUsed/>
    <w:rsid w:val="00420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Llo13</b:Tag>
    <b:SourceType>JournalArticle</b:SourceType>
    <b:Guid>{CD12BC91-FDDD-43E2-87EC-A5232178BDD8}</b:Guid>
    <b:Title>Flood Insurance in New York City Following Hurricane Sandy</b:Title>
    <b:JournalName>Center for Catastrophic Risk Management and Compensation</b:JournalName>
    <b:Year>2013</b:Year>
    <b:Pages>1</b:Pages>
    <b:Author>
      <b:Author>
        <b:NameList>
          <b:Person>
            <b:Last>Dixon</b:Last>
            <b:First>Lloyd</b:First>
          </b:Person>
          <b:Person>
            <b:Last>Clancy</b:Last>
            <b:First>Noreen</b:First>
          </b:Person>
          <b:Person>
            <b:Last>Bender</b:Last>
            <b:First>Bruce</b:First>
          </b:Person>
          <b:Person>
            <b:Last>Kofner</b:Last>
            <b:First>Aaron</b:First>
          </b:Person>
          <b:Person>
            <b:Last>Manheim</b:Last>
            <b:First>David</b:First>
          </b:Person>
          <b:Person>
            <b:Last>Zakaras</b:Last>
            <b:First>Laura</b:First>
          </b:Person>
        </b:NameList>
      </b:Author>
    </b:Author>
    <b:RefOrder>1</b:RefOrder>
  </b:Source>
  <b:Source>
    <b:Tag>Car14</b:Tag>
    <b:SourceType>JournalArticle</b:SourceType>
    <b:Guid>{4B26E466-4D73-4B42-946B-B8AC4DC00C5B}</b:Guid>
    <b:Author>
      <b:Author>
        <b:NameList>
          <b:Person>
            <b:Last>Kousky</b:Last>
            <b:First>Carolyn</b:First>
          </b:Person>
          <b:Person>
            <b:Last>Kunreuther</b:Last>
            <b:First>Howard</b:First>
          </b:Person>
        </b:NameList>
      </b:Author>
    </b:Author>
    <b:Title>Addressing Affordability in the National Flood Insurance Program</b:Title>
    <b:JournalName>Journal of Extreme Events</b:JournalName>
    <b:Year>2014</b:Year>
    <b:Pages>28</b:Pages>
    <b:RefOrder>4</b:RefOrder>
  </b:Source>
  <b:Source>
    <b:Tag>Dam15</b:Tag>
    <b:SourceType>Report</b:SourceType>
    <b:Guid>{9CB28035-68A8-4733-9DE8-BE0BEE45780B}</b:Guid>
    <b:Title>Insurance</b:Title>
    <b:Year>2015</b:Year>
    <b:City>New York </b:City>
    <b:Publisher>New York City Government</b:Publisher>
    <b:Author>
      <b:Author>
        <b:NameList>
          <b:Person>
            <b:Last>Winter</b:Last>
            <b:First>Damon</b:First>
          </b:Person>
          <b:Person>
            <b:Last>Times</b:Last>
            <b:First>The</b:First>
            <b:Middle>New York</b:Middle>
          </b:Person>
        </b:NameList>
      </b:Author>
    </b:Author>
    <b:RefOrder>3</b:RefOrder>
  </b:Source>
  <b:Source>
    <b:Tag>Ins</b:Tag>
    <b:SourceType>JournalArticle</b:SourceType>
    <b:Guid>{8D3C1DC8-F95C-45D7-A5E5-D3FC11170D75}</b:Guid>
    <b:Title>National Flood Insurance Program</b:Title>
    <b:Author>
      <b:Author>
        <b:NameList>
          <b:Person>
            <b:Last>Institute</b:Last>
            <b:First>Insurance</b:First>
            <b:Middle>Information</b:Middle>
          </b:Person>
        </b:NameList>
      </b:Author>
    </b:Author>
    <b:JournalName>Facts+Statistics:Flood Insurance</b:JournalName>
    <b:RefOrder>2</b:RefOrder>
  </b:Source>
</b:Sources>
</file>

<file path=customXml/itemProps1.xml><?xml version="1.0" encoding="utf-8"?>
<ds:datastoreItem xmlns:ds="http://schemas.openxmlformats.org/officeDocument/2006/customXml" ds:itemID="{C9F8A500-2E90-4E83-8676-DEFD03C39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8</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Reginah Wanjiru</cp:lastModifiedBy>
  <cp:revision>89</cp:revision>
  <dcterms:created xsi:type="dcterms:W3CDTF">2018-04-19T14:17:00Z</dcterms:created>
  <dcterms:modified xsi:type="dcterms:W3CDTF">2018-04-20T10:30:00Z</dcterms:modified>
</cp:coreProperties>
</file>