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B0AC3" w:rsidRPr="00DA5CAB" w:rsidRDefault="009B0AC3" w:rsidP="009B0AC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AC3" w:rsidRPr="00DA5CAB" w:rsidRDefault="009B0AC3" w:rsidP="009B0AC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AC3" w:rsidRPr="00DA5CAB" w:rsidRDefault="009B0AC3" w:rsidP="009B0AC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AC3" w:rsidRPr="00DA5CAB" w:rsidRDefault="008A1BCD" w:rsidP="009B0AC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>Intangibles</w:t>
      </w:r>
    </w:p>
    <w:p w:rsidR="009B0AC3" w:rsidRPr="00DA5CAB" w:rsidRDefault="008A1BCD" w:rsidP="009B0AC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>Student’s Name</w:t>
      </w:r>
    </w:p>
    <w:p w:rsidR="009B0AC3" w:rsidRPr="00DA5CAB" w:rsidRDefault="008A1BCD" w:rsidP="009B0AC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96D" w:rsidRPr="00DA5CAB" w:rsidRDefault="0000196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AC3" w:rsidRPr="00DA5CAB" w:rsidRDefault="008A1BCD" w:rsidP="000019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lastRenderedPageBreak/>
        <w:t>Intangibles</w:t>
      </w:r>
    </w:p>
    <w:p w:rsidR="006D204E" w:rsidRPr="00DA5CAB" w:rsidRDefault="008A1BCD" w:rsidP="00C73407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>Intangible elements are aspects that lack physical quality</w:t>
      </w:r>
      <w:r w:rsidR="009B0AC3"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(Jaax &amp; Miroudot, 2021)</w:t>
      </w:r>
      <w:r w:rsidRPr="00DA5CAB">
        <w:rPr>
          <w:rFonts w:ascii="Times New Roman" w:hAnsi="Times New Roman" w:cs="Times New Roman"/>
          <w:sz w:val="24"/>
          <w:szCs w:val="24"/>
        </w:rPr>
        <w:t xml:space="preserve">. These are variables that cannot be seen or touched. </w:t>
      </w:r>
      <w:r w:rsidR="003E6120" w:rsidRPr="00DA5CAB">
        <w:rPr>
          <w:rFonts w:ascii="Times New Roman" w:hAnsi="Times New Roman" w:cs="Times New Roman"/>
          <w:sz w:val="24"/>
          <w:szCs w:val="24"/>
        </w:rPr>
        <w:t>Intangible elements in the DARGEANGRIX BUSINESS SCENARIO include the following:</w:t>
      </w:r>
      <w:r w:rsidR="00C73407" w:rsidRPr="00DA5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E16" w:rsidRPr="00DA5CAB" w:rsidRDefault="008A1BCD" w:rsidP="000244F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 xml:space="preserve">Customer and employee satisfaction with video calls is low as the equipment is not reliable and the video experience is poor. </w:t>
      </w:r>
    </w:p>
    <w:p w:rsidR="009E4264" w:rsidRPr="00DA5CAB" w:rsidRDefault="008A1BCD" w:rsidP="000244F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>Warm relationships with clients and prospects.</w:t>
      </w:r>
    </w:p>
    <w:p w:rsidR="00EB3EBB" w:rsidRPr="00DA5CAB" w:rsidRDefault="008A1BCD" w:rsidP="000244F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>Increase call productivity a</w:t>
      </w:r>
      <w:r w:rsidRPr="00DA5CAB">
        <w:rPr>
          <w:rFonts w:ascii="Times New Roman" w:hAnsi="Times New Roman" w:cs="Times New Roman"/>
          <w:sz w:val="24"/>
          <w:szCs w:val="24"/>
        </w:rPr>
        <w:t>nd effectiveness.</w:t>
      </w:r>
    </w:p>
    <w:p w:rsidR="00EB3EBB" w:rsidRPr="00DA5CAB" w:rsidRDefault="008A1BCD" w:rsidP="000244F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>Reduce client and employee call frustration.</w:t>
      </w:r>
    </w:p>
    <w:p w:rsidR="00D77994" w:rsidRPr="00DA5CAB" w:rsidRDefault="008A1BCD" w:rsidP="000244F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 xml:space="preserve">Provide a great client experience on every call. </w:t>
      </w:r>
    </w:p>
    <w:p w:rsidR="00180ABD" w:rsidRPr="00DA5CAB" w:rsidRDefault="008A1BCD" w:rsidP="000244F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 xml:space="preserve">All of the above elements are intangibles because they are not physical in nature. </w:t>
      </w:r>
      <w:r w:rsidR="00A11212" w:rsidRPr="00DA5CAB">
        <w:rPr>
          <w:rFonts w:ascii="Times New Roman" w:hAnsi="Times New Roman" w:cs="Times New Roman"/>
          <w:sz w:val="24"/>
          <w:szCs w:val="24"/>
        </w:rPr>
        <w:t xml:space="preserve">Generally, these elements </w:t>
      </w:r>
      <w:r w:rsidR="00C15CF3" w:rsidRPr="00DA5CAB">
        <w:rPr>
          <w:rFonts w:ascii="Times New Roman" w:hAnsi="Times New Roman" w:cs="Times New Roman"/>
          <w:sz w:val="24"/>
          <w:szCs w:val="24"/>
        </w:rPr>
        <w:t>represent</w:t>
      </w:r>
      <w:r w:rsidR="00A11212" w:rsidRPr="00DA5CAB">
        <w:rPr>
          <w:rFonts w:ascii="Times New Roman" w:hAnsi="Times New Roman" w:cs="Times New Roman"/>
          <w:sz w:val="24"/>
          <w:szCs w:val="24"/>
        </w:rPr>
        <w:t xml:space="preserve"> the opposite of tangibles which connotes elements that have a physical presence in business. </w:t>
      </w:r>
      <w:r w:rsidR="00640A4C" w:rsidRPr="00DA5CAB">
        <w:rPr>
          <w:rFonts w:ascii="Times New Roman" w:hAnsi="Times New Roman" w:cs="Times New Roman"/>
          <w:sz w:val="24"/>
          <w:szCs w:val="24"/>
        </w:rPr>
        <w:t xml:space="preserve">Some of the examples of tangibles include land, inventory, vehicles, and equipment, among others. </w:t>
      </w:r>
      <w:r w:rsidR="00AA29D4" w:rsidRPr="00DA5CAB">
        <w:rPr>
          <w:rFonts w:ascii="Times New Roman" w:hAnsi="Times New Roman" w:cs="Times New Roman"/>
          <w:sz w:val="24"/>
          <w:szCs w:val="24"/>
        </w:rPr>
        <w:t xml:space="preserve">These elements are also intangibles because they have long-term value in this organization. </w:t>
      </w:r>
      <w:r w:rsidR="00BB5D1C" w:rsidRPr="00DA5CAB">
        <w:rPr>
          <w:rFonts w:ascii="Times New Roman" w:hAnsi="Times New Roman" w:cs="Times New Roman"/>
          <w:sz w:val="24"/>
          <w:szCs w:val="24"/>
        </w:rPr>
        <w:t xml:space="preserve">For instance, the element of a warm relationship with the client has a long-term value in business because </w:t>
      </w:r>
      <w:r w:rsidR="00AB2520" w:rsidRPr="00DA5CAB">
        <w:rPr>
          <w:rFonts w:ascii="Times New Roman" w:hAnsi="Times New Roman" w:cs="Times New Roman"/>
          <w:sz w:val="24"/>
          <w:szCs w:val="24"/>
        </w:rPr>
        <w:t xml:space="preserve">it will continue to affect its operation for several years. </w:t>
      </w:r>
      <w:r w:rsidR="00CD134E" w:rsidRPr="00DA5CAB">
        <w:rPr>
          <w:rFonts w:ascii="Times New Roman" w:hAnsi="Times New Roman" w:cs="Times New Roman"/>
          <w:sz w:val="24"/>
          <w:szCs w:val="24"/>
        </w:rPr>
        <w:t>For instance, an organization with a perfect customer relationship is likely to maintain its clients and acquire ne</w:t>
      </w:r>
      <w:r w:rsidR="00FF1FEC" w:rsidRPr="00DA5CAB">
        <w:rPr>
          <w:rFonts w:ascii="Times New Roman" w:hAnsi="Times New Roman" w:cs="Times New Roman"/>
          <w:sz w:val="24"/>
          <w:szCs w:val="24"/>
        </w:rPr>
        <w:t>w clients because good relation</w:t>
      </w:r>
      <w:r w:rsidR="00CD134E" w:rsidRPr="00DA5CAB">
        <w:rPr>
          <w:rFonts w:ascii="Times New Roman" w:hAnsi="Times New Roman" w:cs="Times New Roman"/>
          <w:sz w:val="24"/>
          <w:szCs w:val="24"/>
        </w:rPr>
        <w:t xml:space="preserve"> is a positive attribute.</w:t>
      </w:r>
      <w:r w:rsidR="008716CF" w:rsidRPr="00DA5CAB">
        <w:rPr>
          <w:rFonts w:ascii="Times New Roman" w:hAnsi="Times New Roman" w:cs="Times New Roman"/>
          <w:sz w:val="24"/>
          <w:szCs w:val="24"/>
        </w:rPr>
        <w:t xml:space="preserve"> </w:t>
      </w:r>
      <w:r w:rsidR="003B652B" w:rsidRPr="00DA5CAB">
        <w:rPr>
          <w:rFonts w:ascii="Times New Roman" w:hAnsi="Times New Roman" w:cs="Times New Roman"/>
          <w:sz w:val="24"/>
          <w:szCs w:val="24"/>
        </w:rPr>
        <w:t xml:space="preserve">Some businesses </w:t>
      </w:r>
      <w:r w:rsidR="00C04799" w:rsidRPr="00DA5CAB">
        <w:rPr>
          <w:rFonts w:ascii="Times New Roman" w:hAnsi="Times New Roman" w:cs="Times New Roman"/>
          <w:sz w:val="24"/>
          <w:szCs w:val="24"/>
        </w:rPr>
        <w:t>maintain</w:t>
      </w:r>
      <w:r w:rsidR="003B652B" w:rsidRPr="00DA5CAB">
        <w:rPr>
          <w:rFonts w:ascii="Times New Roman" w:hAnsi="Times New Roman" w:cs="Times New Roman"/>
          <w:sz w:val="24"/>
          <w:szCs w:val="24"/>
        </w:rPr>
        <w:t xml:space="preserve"> good relations with customers by engaging in activities such as effective communication. For instance, such businesses </w:t>
      </w:r>
      <w:r w:rsidR="00C04799" w:rsidRPr="00DA5CAB">
        <w:rPr>
          <w:rFonts w:ascii="Times New Roman" w:hAnsi="Times New Roman" w:cs="Times New Roman"/>
          <w:sz w:val="24"/>
          <w:szCs w:val="24"/>
        </w:rPr>
        <w:t>ensure</w:t>
      </w:r>
      <w:r w:rsidR="003B652B" w:rsidRPr="00DA5CAB">
        <w:rPr>
          <w:rFonts w:ascii="Times New Roman" w:hAnsi="Times New Roman" w:cs="Times New Roman"/>
          <w:sz w:val="24"/>
          <w:szCs w:val="24"/>
        </w:rPr>
        <w:t xml:space="preserve"> that clients </w:t>
      </w:r>
      <w:r w:rsidR="00C04799" w:rsidRPr="00DA5CAB">
        <w:rPr>
          <w:rFonts w:ascii="Times New Roman" w:hAnsi="Times New Roman" w:cs="Times New Roman"/>
          <w:sz w:val="24"/>
          <w:szCs w:val="24"/>
        </w:rPr>
        <w:t>receive</w:t>
      </w:r>
      <w:r w:rsidR="00E2607C" w:rsidRPr="00DA5CAB">
        <w:rPr>
          <w:rFonts w:ascii="Times New Roman" w:hAnsi="Times New Roman" w:cs="Times New Roman"/>
          <w:sz w:val="24"/>
          <w:szCs w:val="24"/>
        </w:rPr>
        <w:t xml:space="preserve"> instant responses. </w:t>
      </w:r>
    </w:p>
    <w:p w:rsidR="00372777" w:rsidRPr="00DA5CAB" w:rsidRDefault="008A1BCD" w:rsidP="000244F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t xml:space="preserve">Finally, I would go about assigning values to these intangible elements using varied techniques. </w:t>
      </w:r>
      <w:r w:rsidR="001400BE" w:rsidRPr="00DA5CAB">
        <w:rPr>
          <w:rFonts w:ascii="Times New Roman" w:hAnsi="Times New Roman" w:cs="Times New Roman"/>
          <w:sz w:val="24"/>
          <w:szCs w:val="24"/>
        </w:rPr>
        <w:t xml:space="preserve">I will assign values to these elements using particular valuation methods. </w:t>
      </w:r>
      <w:r w:rsidR="004E08C9" w:rsidRPr="00DA5CAB">
        <w:rPr>
          <w:rFonts w:ascii="Times New Roman" w:hAnsi="Times New Roman" w:cs="Times New Roman"/>
          <w:sz w:val="24"/>
          <w:szCs w:val="24"/>
        </w:rPr>
        <w:t xml:space="preserve">One of these methods is the excess earning technique. </w:t>
      </w:r>
      <w:r w:rsidR="004E6335" w:rsidRPr="00DA5CAB">
        <w:rPr>
          <w:rFonts w:ascii="Times New Roman" w:hAnsi="Times New Roman" w:cs="Times New Roman"/>
          <w:sz w:val="24"/>
          <w:szCs w:val="24"/>
        </w:rPr>
        <w:t xml:space="preserve"> </w:t>
      </w:r>
      <w:r w:rsidR="005A5EAD" w:rsidRPr="00DA5CAB">
        <w:rPr>
          <w:rFonts w:ascii="Times New Roman" w:hAnsi="Times New Roman" w:cs="Times New Roman"/>
          <w:sz w:val="24"/>
          <w:szCs w:val="24"/>
        </w:rPr>
        <w:t xml:space="preserve">This method involves forecasting the after-tax </w:t>
      </w:r>
      <w:r w:rsidR="005A5EAD" w:rsidRPr="00DA5CAB">
        <w:rPr>
          <w:rFonts w:ascii="Times New Roman" w:hAnsi="Times New Roman" w:cs="Times New Roman"/>
          <w:sz w:val="24"/>
          <w:szCs w:val="24"/>
        </w:rPr>
        <w:lastRenderedPageBreak/>
        <w:t>cash flow that these intangible elements are expected to generate.</w:t>
      </w:r>
      <w:r w:rsidR="00241AF7" w:rsidRPr="00DA5CAB">
        <w:rPr>
          <w:rFonts w:ascii="Times New Roman" w:hAnsi="Times New Roman" w:cs="Times New Roman"/>
          <w:sz w:val="24"/>
          <w:szCs w:val="24"/>
        </w:rPr>
        <w:t xml:space="preserve"> I would also use the cost method where I establish the cost of developing these intangibles and the return on investment</w:t>
      </w:r>
      <w:r w:rsidR="00DA5CAB"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(Torres-Ortega et al., 2018)</w:t>
      </w:r>
      <w:r w:rsidR="00241AF7" w:rsidRPr="00DA5CAB">
        <w:rPr>
          <w:rFonts w:ascii="Times New Roman" w:hAnsi="Times New Roman" w:cs="Times New Roman"/>
          <w:sz w:val="24"/>
          <w:szCs w:val="24"/>
        </w:rPr>
        <w:t xml:space="preserve">. </w:t>
      </w:r>
      <w:r w:rsidR="00C94FF8" w:rsidRPr="00DA5CAB">
        <w:rPr>
          <w:rFonts w:ascii="Times New Roman" w:hAnsi="Times New Roman" w:cs="Times New Roman"/>
          <w:sz w:val="24"/>
          <w:szCs w:val="24"/>
        </w:rPr>
        <w:t xml:space="preserve">I will also use the relief from royalty method </w:t>
      </w:r>
      <w:r w:rsidR="00270499" w:rsidRPr="00DA5CAB">
        <w:rPr>
          <w:rFonts w:ascii="Times New Roman" w:hAnsi="Times New Roman" w:cs="Times New Roman"/>
          <w:sz w:val="24"/>
          <w:szCs w:val="24"/>
        </w:rPr>
        <w:t>to determine</w:t>
      </w:r>
      <w:r w:rsidR="00C94FF8" w:rsidRPr="00DA5CAB">
        <w:rPr>
          <w:rFonts w:ascii="Times New Roman" w:hAnsi="Times New Roman" w:cs="Times New Roman"/>
          <w:sz w:val="24"/>
          <w:szCs w:val="24"/>
        </w:rPr>
        <w:t xml:space="preserve"> the values of these intangibles. </w:t>
      </w:r>
      <w:r w:rsidR="00270499" w:rsidRPr="00DA5CAB">
        <w:rPr>
          <w:rFonts w:ascii="Times New Roman" w:hAnsi="Times New Roman" w:cs="Times New Roman"/>
          <w:sz w:val="24"/>
          <w:szCs w:val="24"/>
        </w:rPr>
        <w:t xml:space="preserve">This involves forecasting the revenue that these intangibles generate, and then I apply the industry's comparable royalty rates minus the taxes. </w:t>
      </w:r>
    </w:p>
    <w:p w:rsidR="002B4907" w:rsidRPr="00DA5CAB" w:rsidRDefault="002B4907" w:rsidP="009B0AC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4FD" w:rsidRPr="00DA5CAB" w:rsidRDefault="000244F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4907" w:rsidRPr="00DA5CAB" w:rsidRDefault="008A1BCD" w:rsidP="000244F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CAB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2B4907" w:rsidRPr="00DA5CAB" w:rsidRDefault="008A1BCD" w:rsidP="00DA5CAB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Jaax, A., &amp; Miroudot, S. (2021). Capturing value in GVCs through intangible </w:t>
      </w:r>
      <w:r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assets: The role of the trade–investment–intellectual property nexus. </w:t>
      </w:r>
      <w:r w:rsidRPr="00DA5CA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International Business Policy</w:t>
      </w:r>
      <w:r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1-20. </w:t>
      </w:r>
    </w:p>
    <w:p w:rsidR="00DA5CAB" w:rsidRPr="00DA5CAB" w:rsidRDefault="008A1BCD" w:rsidP="00DA5CAB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Torres-Ortega, S., Pérez-Álvarez, R., Díaz-Simal, P., Luis-Ruiz, D., Manuel, J., &amp; Piña-García, F. (2018). Economic valuation of cultural</w:t>
      </w:r>
      <w:r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heritage: Application of travel cost method to the national museum and research center of altamira. </w:t>
      </w:r>
      <w:r w:rsidRPr="00DA5CA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Sustainability</w:t>
      </w:r>
      <w:r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A5CA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10</w:t>
      </w:r>
      <w:r w:rsidRPr="00DA5C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(7), 2550.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B0AC3" w:rsidRPr="00DA5CAB" w:rsidRDefault="009B0AC3" w:rsidP="009B0AC3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9B0AC3" w:rsidRPr="00DA5CAB" w:rsidSect="009B0AC3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BCD" w:rsidRDefault="008A1BCD">
      <w:pPr>
        <w:spacing w:after="0" w:line="240" w:lineRule="auto"/>
      </w:pPr>
      <w:r>
        <w:separator/>
      </w:r>
    </w:p>
  </w:endnote>
  <w:endnote w:type="continuationSeparator" w:id="0">
    <w:p w:rsidR="008A1BCD" w:rsidRDefault="008A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BCD" w:rsidRDefault="008A1BCD">
      <w:pPr>
        <w:spacing w:after="0" w:line="240" w:lineRule="auto"/>
      </w:pPr>
      <w:r>
        <w:separator/>
      </w:r>
    </w:p>
  </w:footnote>
  <w:footnote w:type="continuationSeparator" w:id="0">
    <w:p w:rsidR="008A1BCD" w:rsidRDefault="008A1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6247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9B0AC3" w:rsidRDefault="008A1BCD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>INTANGIBLES</w:t>
        </w:r>
        <w:r w:rsidRPr="009B0AC3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                 </w:t>
        </w:r>
        <w:r w:rsidRPr="009B0A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0AC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B0A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28F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0AC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B0AC3" w:rsidRDefault="009B0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AC3" w:rsidRPr="009B0AC3" w:rsidRDefault="008A1BCD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INTANGIBLES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C7BD9"/>
    <w:multiLevelType w:val="hybridMultilevel"/>
    <w:tmpl w:val="FA8EDC60"/>
    <w:lvl w:ilvl="0" w:tplc="20966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CC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60E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4E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4838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3417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8F7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24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84E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F0"/>
    <w:rsid w:val="0000196D"/>
    <w:rsid w:val="000244FD"/>
    <w:rsid w:val="001168AB"/>
    <w:rsid w:val="001400BE"/>
    <w:rsid w:val="00167BF4"/>
    <w:rsid w:val="00180ABD"/>
    <w:rsid w:val="00241AF7"/>
    <w:rsid w:val="00270499"/>
    <w:rsid w:val="002B4907"/>
    <w:rsid w:val="00372777"/>
    <w:rsid w:val="003B652B"/>
    <w:rsid w:val="003E6120"/>
    <w:rsid w:val="00482E16"/>
    <w:rsid w:val="004E08C9"/>
    <w:rsid w:val="004E6335"/>
    <w:rsid w:val="005726F0"/>
    <w:rsid w:val="005A5EAD"/>
    <w:rsid w:val="00640A4C"/>
    <w:rsid w:val="006700BF"/>
    <w:rsid w:val="006D204E"/>
    <w:rsid w:val="007D2590"/>
    <w:rsid w:val="008528F3"/>
    <w:rsid w:val="008716CF"/>
    <w:rsid w:val="008A1BCD"/>
    <w:rsid w:val="009B0AC3"/>
    <w:rsid w:val="009E4264"/>
    <w:rsid w:val="00A11212"/>
    <w:rsid w:val="00AA29D4"/>
    <w:rsid w:val="00AB2520"/>
    <w:rsid w:val="00AC5914"/>
    <w:rsid w:val="00B314BF"/>
    <w:rsid w:val="00BB5D1C"/>
    <w:rsid w:val="00C04799"/>
    <w:rsid w:val="00C15CF3"/>
    <w:rsid w:val="00C73407"/>
    <w:rsid w:val="00C94FF8"/>
    <w:rsid w:val="00CD134E"/>
    <w:rsid w:val="00D77994"/>
    <w:rsid w:val="00DA5CAB"/>
    <w:rsid w:val="00DF499F"/>
    <w:rsid w:val="00E2607C"/>
    <w:rsid w:val="00EB3EBB"/>
    <w:rsid w:val="00FD624B"/>
    <w:rsid w:val="00FF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A7FD45-DAF2-4218-8665-EE1D462B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C3"/>
  </w:style>
  <w:style w:type="paragraph" w:styleId="Footer">
    <w:name w:val="footer"/>
    <w:basedOn w:val="Normal"/>
    <w:link w:val="FooterChar"/>
    <w:uiPriority w:val="99"/>
    <w:unhideWhenUsed/>
    <w:rsid w:val="009B0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C3"/>
  </w:style>
  <w:style w:type="paragraph" w:styleId="ListParagraph">
    <w:name w:val="List Paragraph"/>
    <w:basedOn w:val="Normal"/>
    <w:uiPriority w:val="34"/>
    <w:qFormat/>
    <w:rsid w:val="00024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2021-07-30T03:34:00Z</dcterms:created>
  <dcterms:modified xsi:type="dcterms:W3CDTF">2021-07-30T03:34:00Z</dcterms:modified>
</cp:coreProperties>
</file>