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07A03" w14:textId="77777777" w:rsidR="003D6939" w:rsidRDefault="003D6939" w:rsidP="003D6939">
      <w:pPr>
        <w:pStyle w:val="Heading1"/>
        <w:spacing w:line="480" w:lineRule="auto"/>
        <w:jc w:val="center"/>
        <w:rPr>
          <w:rFonts w:ascii="Times New Roman" w:hAnsi="Times New Roman" w:cs="Times New Roman"/>
          <w:color w:val="000000" w:themeColor="text1"/>
          <w:sz w:val="24"/>
          <w:szCs w:val="24"/>
          <w:shd w:val="clear" w:color="auto" w:fill="F6F6F6"/>
        </w:rPr>
      </w:pPr>
    </w:p>
    <w:p w14:paraId="06E56F94" w14:textId="77777777" w:rsidR="003D6939" w:rsidRDefault="003D6939" w:rsidP="003D6939">
      <w:pPr>
        <w:pStyle w:val="Heading1"/>
        <w:spacing w:line="480" w:lineRule="auto"/>
        <w:jc w:val="center"/>
        <w:rPr>
          <w:rFonts w:ascii="Times New Roman" w:hAnsi="Times New Roman" w:cs="Times New Roman"/>
          <w:color w:val="000000" w:themeColor="text1"/>
          <w:sz w:val="24"/>
          <w:szCs w:val="24"/>
          <w:shd w:val="clear" w:color="auto" w:fill="F6F6F6"/>
        </w:rPr>
      </w:pPr>
    </w:p>
    <w:p w14:paraId="2AF633DE" w14:textId="77777777" w:rsidR="003D6939" w:rsidRDefault="003D6939" w:rsidP="003D6939">
      <w:pPr>
        <w:pStyle w:val="Heading1"/>
        <w:spacing w:line="480" w:lineRule="auto"/>
        <w:jc w:val="center"/>
        <w:rPr>
          <w:rFonts w:ascii="Times New Roman" w:hAnsi="Times New Roman" w:cs="Times New Roman"/>
          <w:color w:val="000000" w:themeColor="text1"/>
          <w:sz w:val="24"/>
          <w:szCs w:val="24"/>
          <w:shd w:val="clear" w:color="auto" w:fill="F6F6F6"/>
        </w:rPr>
      </w:pPr>
    </w:p>
    <w:p w14:paraId="4230A0D8" w14:textId="77777777" w:rsidR="003D6939" w:rsidRDefault="003D6939" w:rsidP="003D6939">
      <w:pPr>
        <w:pStyle w:val="Heading1"/>
        <w:spacing w:line="480" w:lineRule="auto"/>
        <w:jc w:val="center"/>
        <w:rPr>
          <w:rFonts w:ascii="Times New Roman" w:hAnsi="Times New Roman" w:cs="Times New Roman"/>
          <w:color w:val="000000" w:themeColor="text1"/>
          <w:sz w:val="24"/>
          <w:szCs w:val="24"/>
          <w:shd w:val="clear" w:color="auto" w:fill="F6F6F6"/>
        </w:rPr>
      </w:pPr>
    </w:p>
    <w:p w14:paraId="5E974619" w14:textId="77777777" w:rsidR="003D6939" w:rsidRDefault="003D6939" w:rsidP="003D6939">
      <w:pPr>
        <w:pStyle w:val="Heading1"/>
        <w:spacing w:line="480" w:lineRule="auto"/>
        <w:jc w:val="center"/>
        <w:rPr>
          <w:rFonts w:ascii="Times New Roman" w:hAnsi="Times New Roman" w:cs="Times New Roman"/>
          <w:color w:val="000000" w:themeColor="text1"/>
          <w:sz w:val="24"/>
          <w:szCs w:val="24"/>
          <w:shd w:val="clear" w:color="auto" w:fill="F6F6F6"/>
        </w:rPr>
      </w:pPr>
    </w:p>
    <w:p w14:paraId="4C800BA8" w14:textId="77777777" w:rsidR="003D6939" w:rsidRPr="003D6939" w:rsidRDefault="003D6939" w:rsidP="003D6939"/>
    <w:p w14:paraId="37D27693" w14:textId="2C62726D" w:rsidR="003609BE" w:rsidRPr="00E36142" w:rsidRDefault="00044E59" w:rsidP="00E36142">
      <w:pPr>
        <w:pStyle w:val="NoSpacing"/>
        <w:spacing w:line="480" w:lineRule="auto"/>
        <w:jc w:val="center"/>
        <w:rPr>
          <w:rFonts w:ascii="Times New Roman" w:hAnsi="Times New Roman" w:cs="Times New Roman"/>
          <w:sz w:val="24"/>
          <w:szCs w:val="24"/>
          <w:shd w:val="clear" w:color="auto" w:fill="F6F6F6"/>
        </w:rPr>
      </w:pPr>
      <w:r w:rsidRPr="00E36142">
        <w:rPr>
          <w:rFonts w:ascii="Times New Roman" w:hAnsi="Times New Roman" w:cs="Times New Roman"/>
          <w:sz w:val="24"/>
          <w:szCs w:val="24"/>
          <w:shd w:val="clear" w:color="auto" w:fill="F6F6F6"/>
        </w:rPr>
        <w:t>Healthcare Benchmarking and Quality Analysis:</w:t>
      </w:r>
    </w:p>
    <w:p w14:paraId="444932F4" w14:textId="77777777" w:rsidR="003D6939" w:rsidRDefault="00044E59" w:rsidP="003D693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14:paraId="47349A79" w14:textId="77777777" w:rsidR="003D6939" w:rsidRDefault="00044E59" w:rsidP="003D693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14:paraId="528C0343" w14:textId="444D9AC7" w:rsidR="00A049BF" w:rsidRDefault="00A049BF" w:rsidP="003D693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14:paraId="60660152" w14:textId="7037A506" w:rsidR="00A049BF" w:rsidRDefault="00A049BF" w:rsidP="003D693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68571EF8" w14:textId="77777777" w:rsidR="003D6939" w:rsidRDefault="003D6939" w:rsidP="003D6939">
      <w:pPr>
        <w:spacing w:line="480" w:lineRule="auto"/>
      </w:pPr>
    </w:p>
    <w:p w14:paraId="6C691FCB" w14:textId="77777777" w:rsidR="003D6939" w:rsidRDefault="003D6939" w:rsidP="003D6939">
      <w:pPr>
        <w:spacing w:line="480" w:lineRule="auto"/>
      </w:pPr>
      <w:bookmarkStart w:id="0" w:name="_GoBack"/>
      <w:bookmarkEnd w:id="0"/>
    </w:p>
    <w:p w14:paraId="17F5B279" w14:textId="77777777" w:rsidR="003D6939" w:rsidRDefault="003D6939" w:rsidP="003D6939">
      <w:pPr>
        <w:spacing w:line="480" w:lineRule="auto"/>
      </w:pPr>
    </w:p>
    <w:p w14:paraId="674C12D5" w14:textId="77777777" w:rsidR="003D6939" w:rsidRDefault="003D6939" w:rsidP="003D6939">
      <w:pPr>
        <w:spacing w:line="480" w:lineRule="auto"/>
      </w:pPr>
    </w:p>
    <w:p w14:paraId="6C7B574F" w14:textId="77777777" w:rsidR="003D6939" w:rsidRDefault="003D6939" w:rsidP="003D6939">
      <w:pPr>
        <w:spacing w:line="480" w:lineRule="auto"/>
      </w:pPr>
    </w:p>
    <w:p w14:paraId="52D15B0C" w14:textId="77777777" w:rsidR="003D6939" w:rsidRDefault="003D6939" w:rsidP="003D6939">
      <w:pPr>
        <w:spacing w:line="480" w:lineRule="auto"/>
      </w:pPr>
    </w:p>
    <w:p w14:paraId="47CC8C05" w14:textId="77777777" w:rsidR="003D6939" w:rsidRPr="003D6939" w:rsidRDefault="003D6939" w:rsidP="003D6939">
      <w:pPr>
        <w:spacing w:line="480" w:lineRule="auto"/>
      </w:pPr>
    </w:p>
    <w:p w14:paraId="0D238C7B" w14:textId="5B3239FC" w:rsidR="009B7D09" w:rsidRPr="00FE3138" w:rsidRDefault="00044E59" w:rsidP="00A049BF">
      <w:pPr>
        <w:shd w:val="clear" w:color="auto" w:fill="FFFFFF"/>
        <w:spacing w:after="0" w:line="480" w:lineRule="auto"/>
        <w:jc w:val="center"/>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lastRenderedPageBreak/>
        <w:t xml:space="preserve">Nouveau Health </w:t>
      </w:r>
      <w:r w:rsidR="00F26502" w:rsidRPr="00FE3138">
        <w:rPr>
          <w:rFonts w:ascii="Times New Roman" w:eastAsia="Times New Roman" w:hAnsi="Times New Roman" w:cs="Times New Roman"/>
          <w:color w:val="000000" w:themeColor="text1"/>
          <w:sz w:val="24"/>
          <w:szCs w:val="24"/>
          <w:lang w:val="en-GB" w:eastAsia="en-GB"/>
        </w:rPr>
        <w:t xml:space="preserve">Hospital – Financial Plan </w:t>
      </w:r>
      <w:r w:rsidRPr="00FE3138">
        <w:rPr>
          <w:rFonts w:ascii="Times New Roman" w:eastAsia="Times New Roman" w:hAnsi="Times New Roman" w:cs="Times New Roman"/>
          <w:color w:val="000000" w:themeColor="text1"/>
          <w:sz w:val="24"/>
          <w:szCs w:val="24"/>
          <w:lang w:val="en-GB" w:eastAsia="en-GB"/>
        </w:rPr>
        <w:t>and</w:t>
      </w:r>
      <w:r w:rsidR="00F26502" w:rsidRPr="00FE3138">
        <w:rPr>
          <w:rFonts w:ascii="Times New Roman" w:eastAsia="Times New Roman" w:hAnsi="Times New Roman" w:cs="Times New Roman"/>
          <w:color w:val="000000" w:themeColor="text1"/>
          <w:sz w:val="24"/>
          <w:szCs w:val="24"/>
          <w:lang w:val="en-GB" w:eastAsia="en-GB"/>
        </w:rPr>
        <w:t xml:space="preserve"> Operational Budget</w:t>
      </w:r>
    </w:p>
    <w:p w14:paraId="28E045B0" w14:textId="3DB16B0E" w:rsidR="009B7D09" w:rsidRPr="00FE3138" w:rsidRDefault="00044E59" w:rsidP="003D6939">
      <w:pPr>
        <w:shd w:val="clear" w:color="auto" w:fill="FFFFFF"/>
        <w:spacing w:after="0" w:line="480" w:lineRule="auto"/>
        <w:rPr>
          <w:rFonts w:ascii="Times New Roman" w:eastAsia="Times New Roman" w:hAnsi="Times New Roman" w:cs="Times New Roman"/>
          <w:color w:val="000000" w:themeColor="text1"/>
          <w:spacing w:val="-2"/>
          <w:sz w:val="24"/>
          <w:szCs w:val="24"/>
          <w:lang w:val="en-GB" w:eastAsia="en-GB"/>
        </w:rPr>
      </w:pPr>
      <w:r w:rsidRPr="00FE3138">
        <w:rPr>
          <w:rFonts w:ascii="Times New Roman" w:eastAsia="Times New Roman" w:hAnsi="Times New Roman" w:cs="Times New Roman"/>
          <w:color w:val="000000" w:themeColor="text1"/>
          <w:spacing w:val="-2"/>
          <w:sz w:val="24"/>
          <w:szCs w:val="24"/>
          <w:lang w:val="en-GB" w:eastAsia="en-GB"/>
        </w:rPr>
        <w:t>Introduction</w:t>
      </w:r>
    </w:p>
    <w:p w14:paraId="30E7541C" w14:textId="206192F2" w:rsidR="00DF3365" w:rsidRPr="00FE3138" w:rsidRDefault="00044E59" w:rsidP="00E36142">
      <w:pPr>
        <w:shd w:val="clear" w:color="auto" w:fill="FFFFFF"/>
        <w:spacing w:after="0" w:line="480" w:lineRule="auto"/>
        <w:ind w:firstLine="720"/>
        <w:rPr>
          <w:rFonts w:ascii="Times New Roman" w:eastAsia="Times New Roman" w:hAnsi="Times New Roman" w:cs="Times New Roman"/>
          <w:color w:val="000000" w:themeColor="text1"/>
          <w:spacing w:val="-2"/>
          <w:sz w:val="24"/>
          <w:szCs w:val="24"/>
          <w:lang w:val="en-GB" w:eastAsia="en-GB"/>
        </w:rPr>
      </w:pPr>
      <w:r w:rsidRPr="00FE3138">
        <w:rPr>
          <w:rFonts w:ascii="Times New Roman" w:eastAsia="Times New Roman" w:hAnsi="Times New Roman" w:cs="Times New Roman"/>
          <w:color w:val="000000" w:themeColor="text1"/>
          <w:spacing w:val="-2"/>
          <w:sz w:val="24"/>
          <w:szCs w:val="24"/>
          <w:lang w:val="en-GB" w:eastAsia="en-GB"/>
        </w:rPr>
        <w:t xml:space="preserve">Established in the </w:t>
      </w:r>
      <w:proofErr w:type="spellStart"/>
      <w:r w:rsidRPr="00FE3138">
        <w:rPr>
          <w:rFonts w:ascii="Times New Roman" w:eastAsia="Times New Roman" w:hAnsi="Times New Roman" w:cs="Times New Roman"/>
          <w:color w:val="000000" w:themeColor="text1"/>
          <w:spacing w:val="-2"/>
          <w:sz w:val="24"/>
          <w:szCs w:val="24"/>
          <w:lang w:val="en-GB" w:eastAsia="en-GB"/>
        </w:rPr>
        <w:t>Banconota</w:t>
      </w:r>
      <w:proofErr w:type="spellEnd"/>
      <w:r w:rsidRPr="00FE3138">
        <w:rPr>
          <w:rFonts w:ascii="Times New Roman" w:eastAsia="Times New Roman" w:hAnsi="Times New Roman" w:cs="Times New Roman"/>
          <w:color w:val="000000" w:themeColor="text1"/>
          <w:spacing w:val="-2"/>
          <w:sz w:val="24"/>
          <w:szCs w:val="24"/>
          <w:lang w:val="en-GB" w:eastAsia="en-GB"/>
        </w:rPr>
        <w:t xml:space="preserve"> County in the year 1977, </w:t>
      </w:r>
      <w:r w:rsidRPr="00FE3138">
        <w:rPr>
          <w:rFonts w:ascii="Times New Roman" w:eastAsia="Times New Roman" w:hAnsi="Times New Roman" w:cs="Times New Roman"/>
          <w:color w:val="000000" w:themeColor="text1"/>
          <w:sz w:val="24"/>
          <w:szCs w:val="24"/>
          <w:lang w:val="en-GB" w:eastAsia="en-GB"/>
        </w:rPr>
        <w:t xml:space="preserve">Krona Community Hospital </w:t>
      </w:r>
      <w:r w:rsidR="00267D7E" w:rsidRPr="00FE3138">
        <w:rPr>
          <w:rFonts w:ascii="Times New Roman" w:eastAsia="Times New Roman" w:hAnsi="Times New Roman" w:cs="Times New Roman"/>
          <w:color w:val="000000" w:themeColor="text1"/>
          <w:sz w:val="24"/>
          <w:szCs w:val="24"/>
          <w:lang w:val="en-GB" w:eastAsia="en-GB"/>
        </w:rPr>
        <w:t xml:space="preserve">has facilities which house sixty beds providing health care with employees consisting of 100 specialists/physicians, </w:t>
      </w:r>
      <w:r w:rsidR="00B15E95" w:rsidRPr="00FE3138">
        <w:rPr>
          <w:rFonts w:ascii="Times New Roman" w:eastAsia="Times New Roman" w:hAnsi="Times New Roman" w:cs="Times New Roman"/>
          <w:color w:val="000000" w:themeColor="text1"/>
          <w:sz w:val="24"/>
          <w:szCs w:val="24"/>
          <w:lang w:val="en-GB" w:eastAsia="en-GB"/>
        </w:rPr>
        <w:t>seventy-five volunteers, and four-hundred employees to healthcare services range</w:t>
      </w:r>
      <w:r w:rsidR="00FE3138" w:rsidRPr="00FE3138">
        <w:rPr>
          <w:rFonts w:ascii="Times New Roman" w:eastAsia="Times New Roman" w:hAnsi="Times New Roman" w:cs="Times New Roman"/>
          <w:color w:val="000000" w:themeColor="text1"/>
          <w:sz w:val="24"/>
          <w:szCs w:val="24"/>
        </w:rPr>
        <w:t xml:space="preserve"> </w:t>
      </w:r>
      <w:r w:rsidR="00FE3138">
        <w:rPr>
          <w:rFonts w:ascii="Times New Roman" w:eastAsia="Times New Roman" w:hAnsi="Times New Roman" w:cs="Times New Roman"/>
          <w:color w:val="000000" w:themeColor="text1"/>
          <w:sz w:val="24"/>
          <w:szCs w:val="24"/>
        </w:rPr>
        <w:t>(</w:t>
      </w:r>
      <w:r w:rsidR="00FE3138" w:rsidRPr="00FE3138">
        <w:rPr>
          <w:rFonts w:ascii="Times New Roman" w:eastAsia="Times New Roman" w:hAnsi="Times New Roman" w:cs="Times New Roman"/>
          <w:color w:val="000000" w:themeColor="text1"/>
          <w:sz w:val="24"/>
          <w:szCs w:val="24"/>
        </w:rPr>
        <w:t xml:space="preserve">Büyüközkan, </w:t>
      </w:r>
      <w:r w:rsidR="00FE3138">
        <w:rPr>
          <w:rFonts w:ascii="Times New Roman" w:eastAsia="Times New Roman" w:hAnsi="Times New Roman" w:cs="Times New Roman"/>
          <w:color w:val="000000" w:themeColor="text1"/>
          <w:sz w:val="24"/>
          <w:szCs w:val="24"/>
        </w:rPr>
        <w:t xml:space="preserve">Çifçi, </w:t>
      </w:r>
      <w:r w:rsidR="00FE3138" w:rsidRPr="00FE3138">
        <w:rPr>
          <w:rFonts w:ascii="Times New Roman" w:eastAsia="Times New Roman" w:hAnsi="Times New Roman" w:cs="Times New Roman"/>
          <w:color w:val="000000" w:themeColor="text1"/>
          <w:sz w:val="24"/>
          <w:szCs w:val="24"/>
        </w:rPr>
        <w:t>&amp; Güleryüz, 2011)</w:t>
      </w:r>
      <w:r w:rsidR="00B15E95" w:rsidRPr="00FE3138">
        <w:rPr>
          <w:rFonts w:ascii="Times New Roman" w:eastAsia="Times New Roman" w:hAnsi="Times New Roman" w:cs="Times New Roman"/>
          <w:color w:val="000000" w:themeColor="text1"/>
          <w:sz w:val="24"/>
          <w:szCs w:val="24"/>
          <w:lang w:val="en-GB" w:eastAsia="en-GB"/>
        </w:rPr>
        <w:t xml:space="preserve">. During the previous years, </w:t>
      </w:r>
      <w:r w:rsidR="005345AF" w:rsidRPr="00FE3138">
        <w:rPr>
          <w:rFonts w:ascii="Times New Roman" w:eastAsia="Times New Roman" w:hAnsi="Times New Roman" w:cs="Times New Roman"/>
          <w:color w:val="000000" w:themeColor="text1"/>
          <w:sz w:val="24"/>
          <w:szCs w:val="24"/>
          <w:lang w:val="en-GB" w:eastAsia="en-GB"/>
        </w:rPr>
        <w:t>a non-profit health care organization chain, Nouveau Health in this context acquires</w:t>
      </w:r>
      <w:r w:rsidR="00B15E95" w:rsidRPr="00FE3138">
        <w:rPr>
          <w:rFonts w:ascii="Times New Roman" w:eastAsia="Times New Roman" w:hAnsi="Times New Roman" w:cs="Times New Roman"/>
          <w:color w:val="000000" w:themeColor="text1"/>
          <w:sz w:val="24"/>
          <w:szCs w:val="24"/>
          <w:lang w:val="en-GB" w:eastAsia="en-GB"/>
        </w:rPr>
        <w:t xml:space="preserve"> the Krona </w:t>
      </w:r>
      <w:r w:rsidR="00542B36" w:rsidRPr="00FE3138">
        <w:rPr>
          <w:rFonts w:ascii="Times New Roman" w:eastAsia="Times New Roman" w:hAnsi="Times New Roman" w:cs="Times New Roman"/>
          <w:color w:val="000000" w:themeColor="text1"/>
          <w:sz w:val="24"/>
          <w:szCs w:val="24"/>
          <w:lang w:val="en-GB" w:eastAsia="en-GB"/>
        </w:rPr>
        <w:t>Public</w:t>
      </w:r>
      <w:r w:rsidR="00B15E95" w:rsidRPr="00FE3138">
        <w:rPr>
          <w:rFonts w:ascii="Times New Roman" w:eastAsia="Times New Roman" w:hAnsi="Times New Roman" w:cs="Times New Roman"/>
          <w:color w:val="000000" w:themeColor="text1"/>
          <w:sz w:val="24"/>
          <w:szCs w:val="24"/>
          <w:lang w:val="en-GB" w:eastAsia="en-GB"/>
        </w:rPr>
        <w:t xml:space="preserve"> </w:t>
      </w:r>
      <w:r w:rsidR="00542B36" w:rsidRPr="00FE3138">
        <w:rPr>
          <w:rFonts w:ascii="Times New Roman" w:eastAsia="Times New Roman" w:hAnsi="Times New Roman" w:cs="Times New Roman"/>
          <w:color w:val="000000" w:themeColor="text1"/>
          <w:sz w:val="24"/>
          <w:szCs w:val="24"/>
          <w:lang w:val="en-GB" w:eastAsia="en-GB"/>
        </w:rPr>
        <w:t>sanatorium</w:t>
      </w:r>
      <w:r w:rsidR="00B15E95" w:rsidRPr="00FE3138">
        <w:rPr>
          <w:rFonts w:ascii="Times New Roman" w:eastAsia="Times New Roman" w:hAnsi="Times New Roman" w:cs="Times New Roman"/>
          <w:color w:val="000000" w:themeColor="text1"/>
          <w:sz w:val="24"/>
          <w:szCs w:val="24"/>
          <w:lang w:val="en-GB" w:eastAsia="en-GB"/>
        </w:rPr>
        <w:t xml:space="preserve">. </w:t>
      </w:r>
      <w:r w:rsidR="005345AF" w:rsidRPr="00FE3138">
        <w:rPr>
          <w:rFonts w:ascii="Times New Roman" w:eastAsia="Times New Roman" w:hAnsi="Times New Roman" w:cs="Times New Roman"/>
          <w:color w:val="000000" w:themeColor="text1"/>
          <w:sz w:val="24"/>
          <w:szCs w:val="24"/>
          <w:lang w:val="en-GB" w:eastAsia="en-GB"/>
        </w:rPr>
        <w:t xml:space="preserve">Nouveau Health has </w:t>
      </w:r>
      <w:r w:rsidR="00AE00DD" w:rsidRPr="00FE3138">
        <w:rPr>
          <w:rFonts w:ascii="Times New Roman" w:eastAsia="Times New Roman" w:hAnsi="Times New Roman" w:cs="Times New Roman"/>
          <w:color w:val="000000" w:themeColor="text1"/>
          <w:sz w:val="24"/>
          <w:szCs w:val="24"/>
          <w:lang w:val="en-GB" w:eastAsia="en-GB"/>
        </w:rPr>
        <w:t>made a decision</w:t>
      </w:r>
      <w:r w:rsidR="005345AF" w:rsidRPr="00FE3138">
        <w:rPr>
          <w:rFonts w:ascii="Times New Roman" w:eastAsia="Times New Roman" w:hAnsi="Times New Roman" w:cs="Times New Roman"/>
          <w:color w:val="000000" w:themeColor="text1"/>
          <w:sz w:val="24"/>
          <w:szCs w:val="24"/>
          <w:lang w:val="en-GB" w:eastAsia="en-GB"/>
        </w:rPr>
        <w:t xml:space="preserve"> to build and make up a new after the take-over with an extension to house seventy-four </w:t>
      </w:r>
      <w:r w:rsidR="00950CF5" w:rsidRPr="00FE3138">
        <w:rPr>
          <w:rFonts w:ascii="Times New Roman" w:eastAsia="Times New Roman" w:hAnsi="Times New Roman" w:cs="Times New Roman"/>
          <w:color w:val="000000" w:themeColor="text1"/>
          <w:sz w:val="24"/>
          <w:szCs w:val="24"/>
          <w:lang w:val="en-GB" w:eastAsia="en-GB"/>
        </w:rPr>
        <w:t>beds for emergency unit operational twenty-four hours, maternity care facility, an intensive care division, extensive</w:t>
      </w:r>
      <w:r w:rsidR="000144DF" w:rsidRPr="00FE3138">
        <w:rPr>
          <w:rFonts w:ascii="Times New Roman" w:eastAsia="Times New Roman" w:hAnsi="Times New Roman" w:cs="Times New Roman"/>
          <w:color w:val="000000" w:themeColor="text1"/>
          <w:sz w:val="24"/>
          <w:szCs w:val="24"/>
          <w:lang w:val="en-GB" w:eastAsia="en-GB"/>
        </w:rPr>
        <w:t xml:space="preserve"> range of other support service</w:t>
      </w:r>
      <w:r w:rsidR="00950CF5" w:rsidRPr="00FE3138">
        <w:rPr>
          <w:rFonts w:ascii="Times New Roman" w:eastAsia="Times New Roman" w:hAnsi="Times New Roman" w:cs="Times New Roman"/>
          <w:color w:val="000000" w:themeColor="text1"/>
          <w:sz w:val="24"/>
          <w:szCs w:val="24"/>
          <w:lang w:val="en-GB" w:eastAsia="en-GB"/>
        </w:rPr>
        <w:t xml:space="preserve">, physical </w:t>
      </w:r>
      <w:r w:rsidR="000144DF" w:rsidRPr="00FE3138">
        <w:rPr>
          <w:rFonts w:ascii="Times New Roman" w:eastAsia="Times New Roman" w:hAnsi="Times New Roman" w:cs="Times New Roman"/>
          <w:color w:val="000000" w:themeColor="text1"/>
          <w:sz w:val="24"/>
          <w:szCs w:val="24"/>
          <w:lang w:val="en-GB" w:eastAsia="en-GB"/>
        </w:rPr>
        <w:t>therapies</w:t>
      </w:r>
      <w:r w:rsidR="00950CF5" w:rsidRPr="00FE3138">
        <w:rPr>
          <w:rFonts w:ascii="Times New Roman" w:eastAsia="Times New Roman" w:hAnsi="Times New Roman" w:cs="Times New Roman"/>
          <w:color w:val="000000" w:themeColor="text1"/>
          <w:sz w:val="24"/>
          <w:szCs w:val="24"/>
          <w:lang w:val="en-GB" w:eastAsia="en-GB"/>
        </w:rPr>
        <w:t xml:space="preserve"> facility, cardiac </w:t>
      </w:r>
      <w:r w:rsidR="00892047" w:rsidRPr="00FE3138">
        <w:rPr>
          <w:rFonts w:ascii="Times New Roman" w:eastAsia="Times New Roman" w:hAnsi="Times New Roman" w:cs="Times New Roman"/>
          <w:color w:val="000000" w:themeColor="text1"/>
          <w:sz w:val="24"/>
          <w:szCs w:val="24"/>
          <w:lang w:val="en-GB" w:eastAsia="en-GB"/>
        </w:rPr>
        <w:t>restoration</w:t>
      </w:r>
      <w:r w:rsidR="00950CF5" w:rsidRPr="00FE3138">
        <w:rPr>
          <w:rFonts w:ascii="Times New Roman" w:eastAsia="Times New Roman" w:hAnsi="Times New Roman" w:cs="Times New Roman"/>
          <w:color w:val="000000" w:themeColor="text1"/>
          <w:sz w:val="24"/>
          <w:szCs w:val="24"/>
          <w:lang w:val="en-GB" w:eastAsia="en-GB"/>
        </w:rPr>
        <w:t xml:space="preserve"> f</w:t>
      </w:r>
      <w:r w:rsidR="00CF61E3" w:rsidRPr="00FE3138">
        <w:rPr>
          <w:rFonts w:ascii="Times New Roman" w:eastAsia="Times New Roman" w:hAnsi="Times New Roman" w:cs="Times New Roman"/>
          <w:color w:val="000000" w:themeColor="text1"/>
          <w:sz w:val="24"/>
          <w:szCs w:val="24"/>
          <w:lang w:val="en-GB" w:eastAsia="en-GB"/>
        </w:rPr>
        <w:t>acility, private room</w:t>
      </w:r>
      <w:r w:rsidR="00950CF5" w:rsidRPr="00FE3138">
        <w:rPr>
          <w:rFonts w:ascii="Times New Roman" w:eastAsia="Times New Roman" w:hAnsi="Times New Roman" w:cs="Times New Roman"/>
          <w:color w:val="000000" w:themeColor="text1"/>
          <w:sz w:val="24"/>
          <w:szCs w:val="24"/>
          <w:lang w:val="en-GB" w:eastAsia="en-GB"/>
        </w:rPr>
        <w:t xml:space="preserve"> for inpatients, acute care</w:t>
      </w:r>
      <w:r w:rsidR="008620AE" w:rsidRPr="00FE3138">
        <w:rPr>
          <w:rFonts w:ascii="Times New Roman" w:eastAsia="Times New Roman" w:hAnsi="Times New Roman" w:cs="Times New Roman"/>
          <w:color w:val="000000" w:themeColor="text1"/>
          <w:sz w:val="24"/>
          <w:szCs w:val="24"/>
          <w:lang w:val="en-GB" w:eastAsia="en-GB"/>
        </w:rPr>
        <w:t>, four observation rooms, four rooms for surgical operations, and C-section room</w:t>
      </w:r>
      <w:r w:rsidR="007B69B8" w:rsidRPr="00FE3138">
        <w:rPr>
          <w:rFonts w:ascii="Times New Roman" w:eastAsia="Times New Roman" w:hAnsi="Times New Roman" w:cs="Times New Roman"/>
          <w:color w:val="000000" w:themeColor="text1"/>
          <w:sz w:val="24"/>
          <w:szCs w:val="24"/>
          <w:lang w:val="en-GB" w:eastAsia="en-GB"/>
        </w:rPr>
        <w:t>s</w:t>
      </w:r>
      <w:r w:rsidR="000902A7">
        <w:rPr>
          <w:rFonts w:ascii="Times New Roman" w:eastAsia="Times New Roman" w:hAnsi="Times New Roman" w:cs="Times New Roman"/>
          <w:color w:val="000000" w:themeColor="text1"/>
          <w:sz w:val="24"/>
          <w:szCs w:val="24"/>
          <w:lang w:val="en-GB" w:eastAsia="en-GB"/>
        </w:rPr>
        <w:t xml:space="preserve"> </w:t>
      </w:r>
      <w:r w:rsidR="000902A7">
        <w:rPr>
          <w:color w:val="000000" w:themeColor="text1"/>
        </w:rPr>
        <w:t>(</w:t>
      </w:r>
      <w:r w:rsidR="000902A7" w:rsidRPr="00FE3138">
        <w:rPr>
          <w:rFonts w:ascii="Times New Roman" w:eastAsia="Times New Roman" w:hAnsi="Times New Roman" w:cs="Times New Roman"/>
          <w:color w:val="000000" w:themeColor="text1"/>
          <w:sz w:val="24"/>
          <w:szCs w:val="24"/>
        </w:rPr>
        <w:t>Ettorchi-Tardy, Levif, &amp; Michel, 2012)</w:t>
      </w:r>
      <w:r w:rsidR="008620AE" w:rsidRPr="00FE3138">
        <w:rPr>
          <w:rFonts w:ascii="Times New Roman" w:eastAsia="Times New Roman" w:hAnsi="Times New Roman" w:cs="Times New Roman"/>
          <w:color w:val="000000" w:themeColor="text1"/>
          <w:sz w:val="24"/>
          <w:szCs w:val="24"/>
          <w:lang w:val="en-GB" w:eastAsia="en-GB"/>
        </w:rPr>
        <w:t xml:space="preserve">. </w:t>
      </w:r>
      <w:r w:rsidR="00CC23DC" w:rsidRPr="00FE3138">
        <w:rPr>
          <w:rFonts w:ascii="Times New Roman" w:eastAsia="Times New Roman" w:hAnsi="Times New Roman" w:cs="Times New Roman"/>
          <w:color w:val="000000" w:themeColor="text1"/>
          <w:sz w:val="24"/>
          <w:szCs w:val="24"/>
          <w:lang w:val="en-GB" w:eastAsia="en-GB"/>
        </w:rPr>
        <w:t xml:space="preserve">In the scenario, the </w:t>
      </w:r>
      <w:r w:rsidR="002E4B69" w:rsidRPr="00FE3138">
        <w:rPr>
          <w:rFonts w:ascii="Times New Roman" w:eastAsia="Times New Roman" w:hAnsi="Times New Roman" w:cs="Times New Roman"/>
          <w:color w:val="000000" w:themeColor="text1"/>
          <w:sz w:val="24"/>
          <w:szCs w:val="24"/>
          <w:lang w:val="en-GB" w:eastAsia="en-GB"/>
        </w:rPr>
        <w:t xml:space="preserve">purpose </w:t>
      </w:r>
      <w:r w:rsidR="00CC23DC" w:rsidRPr="00FE3138">
        <w:rPr>
          <w:rFonts w:ascii="Times New Roman" w:eastAsia="Times New Roman" w:hAnsi="Times New Roman" w:cs="Times New Roman"/>
          <w:color w:val="000000" w:themeColor="text1"/>
          <w:sz w:val="24"/>
          <w:szCs w:val="24"/>
          <w:lang w:val="en-GB" w:eastAsia="en-GB"/>
        </w:rPr>
        <w:t xml:space="preserve">of this work is to </w:t>
      </w:r>
      <w:r w:rsidR="00231A33" w:rsidRPr="00FE3138">
        <w:rPr>
          <w:rFonts w:ascii="Times New Roman" w:eastAsia="Times New Roman" w:hAnsi="Times New Roman" w:cs="Times New Roman"/>
          <w:color w:val="000000" w:themeColor="text1"/>
          <w:sz w:val="24"/>
          <w:szCs w:val="24"/>
          <w:lang w:val="en-GB" w:eastAsia="en-GB"/>
        </w:rPr>
        <w:t>make</w:t>
      </w:r>
      <w:r w:rsidR="00CC23DC" w:rsidRPr="00FE3138">
        <w:rPr>
          <w:rFonts w:ascii="Times New Roman" w:eastAsia="Times New Roman" w:hAnsi="Times New Roman" w:cs="Times New Roman"/>
          <w:color w:val="000000" w:themeColor="text1"/>
          <w:sz w:val="24"/>
          <w:szCs w:val="24"/>
          <w:lang w:val="en-GB" w:eastAsia="en-GB"/>
        </w:rPr>
        <w:t xml:space="preserve"> </w:t>
      </w:r>
      <w:r w:rsidR="00231A33" w:rsidRPr="00FE3138">
        <w:rPr>
          <w:rFonts w:ascii="Times New Roman" w:eastAsia="Times New Roman" w:hAnsi="Times New Roman" w:cs="Times New Roman"/>
          <w:color w:val="000000" w:themeColor="text1"/>
          <w:sz w:val="24"/>
          <w:szCs w:val="24"/>
          <w:lang w:val="en-GB" w:eastAsia="en-GB"/>
        </w:rPr>
        <w:t>comprehensive financial plans</w:t>
      </w:r>
      <w:r w:rsidR="00CC23DC" w:rsidRPr="00FE3138">
        <w:rPr>
          <w:rFonts w:ascii="Times New Roman" w:eastAsia="Times New Roman" w:hAnsi="Times New Roman" w:cs="Times New Roman"/>
          <w:color w:val="000000" w:themeColor="text1"/>
          <w:sz w:val="24"/>
          <w:szCs w:val="24"/>
          <w:lang w:val="en-GB" w:eastAsia="en-GB"/>
        </w:rPr>
        <w:t xml:space="preserve"> that include operational budget</w:t>
      </w:r>
      <w:r w:rsidR="00231A33" w:rsidRPr="00FE3138">
        <w:rPr>
          <w:rFonts w:ascii="Times New Roman" w:eastAsia="Times New Roman" w:hAnsi="Times New Roman" w:cs="Times New Roman"/>
          <w:color w:val="000000" w:themeColor="text1"/>
          <w:sz w:val="24"/>
          <w:szCs w:val="24"/>
          <w:lang w:val="en-GB" w:eastAsia="en-GB"/>
        </w:rPr>
        <w:t>s</w:t>
      </w:r>
      <w:r w:rsidR="00CC23DC" w:rsidRPr="00FE3138">
        <w:rPr>
          <w:rFonts w:ascii="Times New Roman" w:eastAsia="Times New Roman" w:hAnsi="Times New Roman" w:cs="Times New Roman"/>
          <w:color w:val="000000" w:themeColor="text1"/>
          <w:sz w:val="24"/>
          <w:szCs w:val="24"/>
          <w:lang w:val="en-GB" w:eastAsia="en-GB"/>
        </w:rPr>
        <w:t xml:space="preserve"> for the following year putting into consideration the new expansion plan </w:t>
      </w:r>
      <w:r w:rsidR="00231A33" w:rsidRPr="00FE3138">
        <w:rPr>
          <w:rFonts w:ascii="Times New Roman" w:eastAsia="Times New Roman" w:hAnsi="Times New Roman" w:cs="Times New Roman"/>
          <w:color w:val="000000" w:themeColor="text1"/>
          <w:sz w:val="24"/>
          <w:szCs w:val="24"/>
          <w:lang w:val="en-GB" w:eastAsia="en-GB"/>
        </w:rPr>
        <w:t>as well as v</w:t>
      </w:r>
      <w:r w:rsidR="00CC23DC" w:rsidRPr="00FE3138">
        <w:rPr>
          <w:rFonts w:ascii="Times New Roman" w:eastAsia="Times New Roman" w:hAnsi="Times New Roman" w:cs="Times New Roman"/>
          <w:color w:val="000000" w:themeColor="text1"/>
          <w:sz w:val="24"/>
          <w:szCs w:val="24"/>
          <w:lang w:val="en-GB" w:eastAsia="en-GB"/>
        </w:rPr>
        <w:t xml:space="preserve">arious factors.  </w:t>
      </w:r>
    </w:p>
    <w:p w14:paraId="401D224F" w14:textId="1DF52EEE" w:rsidR="009B7D09" w:rsidRPr="00FE3138"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Financial Planning </w:t>
      </w:r>
      <w:r w:rsidR="00BF63CB" w:rsidRPr="00FE3138">
        <w:rPr>
          <w:rFonts w:ascii="Times New Roman" w:eastAsia="Times New Roman" w:hAnsi="Times New Roman" w:cs="Times New Roman"/>
          <w:color w:val="000000" w:themeColor="text1"/>
          <w:sz w:val="24"/>
          <w:szCs w:val="24"/>
          <w:lang w:val="en-GB" w:eastAsia="en-GB"/>
        </w:rPr>
        <w:t>and</w:t>
      </w:r>
      <w:r w:rsidRPr="00FE3138">
        <w:rPr>
          <w:rFonts w:ascii="Times New Roman" w:eastAsia="Times New Roman" w:hAnsi="Times New Roman" w:cs="Times New Roman"/>
          <w:color w:val="000000" w:themeColor="text1"/>
          <w:sz w:val="24"/>
          <w:szCs w:val="24"/>
          <w:lang w:val="en-GB" w:eastAsia="en-GB"/>
        </w:rPr>
        <w:t xml:space="preserve"> Budgeting</w:t>
      </w:r>
    </w:p>
    <w:p w14:paraId="62161C1A" w14:textId="293B094D" w:rsidR="00BF63CB" w:rsidRPr="00FE3138" w:rsidRDefault="00044E59" w:rsidP="00E36142">
      <w:pPr>
        <w:shd w:val="clear" w:color="auto" w:fill="FFFFFF"/>
        <w:spacing w:after="0" w:line="480" w:lineRule="auto"/>
        <w:ind w:firstLine="720"/>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Yet one of the very critical </w:t>
      </w:r>
      <w:r w:rsidR="00A97291" w:rsidRPr="00FE3138">
        <w:rPr>
          <w:rFonts w:ascii="Times New Roman" w:eastAsia="Times New Roman" w:hAnsi="Times New Roman" w:cs="Times New Roman"/>
          <w:color w:val="000000" w:themeColor="text1"/>
          <w:sz w:val="24"/>
          <w:szCs w:val="24"/>
          <w:lang w:val="en-GB" w:eastAsia="en-GB"/>
        </w:rPr>
        <w:t>processes</w:t>
      </w:r>
      <w:r w:rsidRPr="00FE3138">
        <w:rPr>
          <w:rFonts w:ascii="Times New Roman" w:eastAsia="Times New Roman" w:hAnsi="Times New Roman" w:cs="Times New Roman"/>
          <w:color w:val="000000" w:themeColor="text1"/>
          <w:sz w:val="24"/>
          <w:szCs w:val="24"/>
          <w:lang w:val="en-GB" w:eastAsia="en-GB"/>
        </w:rPr>
        <w:t xml:space="preserve">, the </w:t>
      </w:r>
      <w:r w:rsidR="000C4EF5" w:rsidRPr="00FE3138">
        <w:rPr>
          <w:rFonts w:ascii="Times New Roman" w:eastAsia="Times New Roman" w:hAnsi="Times New Roman" w:cs="Times New Roman"/>
          <w:color w:val="000000" w:themeColor="text1"/>
          <w:sz w:val="24"/>
          <w:szCs w:val="24"/>
          <w:lang w:val="en-GB" w:eastAsia="en-GB"/>
        </w:rPr>
        <w:t>Yearly</w:t>
      </w:r>
      <w:r w:rsidRPr="00FE3138">
        <w:rPr>
          <w:rFonts w:ascii="Times New Roman" w:eastAsia="Times New Roman" w:hAnsi="Times New Roman" w:cs="Times New Roman"/>
          <w:color w:val="000000" w:themeColor="text1"/>
          <w:sz w:val="24"/>
          <w:szCs w:val="24"/>
          <w:lang w:val="en-GB" w:eastAsia="en-GB"/>
        </w:rPr>
        <w:t xml:space="preserve"> </w:t>
      </w:r>
      <w:r w:rsidR="000C4EF5" w:rsidRPr="00FE3138">
        <w:rPr>
          <w:rFonts w:ascii="Times New Roman" w:eastAsia="Times New Roman" w:hAnsi="Times New Roman" w:cs="Times New Roman"/>
          <w:color w:val="000000" w:themeColor="text1"/>
          <w:sz w:val="24"/>
          <w:szCs w:val="24"/>
          <w:lang w:val="en-GB" w:eastAsia="en-GB"/>
        </w:rPr>
        <w:t>Operational</w:t>
      </w:r>
      <w:r w:rsidRPr="00FE3138">
        <w:rPr>
          <w:rFonts w:ascii="Times New Roman" w:eastAsia="Times New Roman" w:hAnsi="Times New Roman" w:cs="Times New Roman"/>
          <w:color w:val="000000" w:themeColor="text1"/>
          <w:sz w:val="24"/>
          <w:szCs w:val="24"/>
          <w:lang w:val="en-GB" w:eastAsia="en-GB"/>
        </w:rPr>
        <w:t xml:space="preserve"> </w:t>
      </w:r>
      <w:r w:rsidR="000C4EF5" w:rsidRPr="00FE3138">
        <w:rPr>
          <w:rFonts w:ascii="Times New Roman" w:eastAsia="Times New Roman" w:hAnsi="Times New Roman" w:cs="Times New Roman"/>
          <w:color w:val="000000" w:themeColor="text1"/>
          <w:sz w:val="24"/>
          <w:szCs w:val="24"/>
          <w:lang w:val="en-GB" w:eastAsia="en-GB"/>
        </w:rPr>
        <w:t>Strategy</w:t>
      </w:r>
      <w:r w:rsidR="00AE3E84" w:rsidRPr="00FE3138">
        <w:rPr>
          <w:rFonts w:ascii="Times New Roman" w:eastAsia="Times New Roman" w:hAnsi="Times New Roman" w:cs="Times New Roman"/>
          <w:color w:val="000000" w:themeColor="text1"/>
          <w:sz w:val="24"/>
          <w:szCs w:val="24"/>
          <w:lang w:val="en-GB" w:eastAsia="en-GB"/>
        </w:rPr>
        <w:t xml:space="preserve"> is a standard process in a facility </w:t>
      </w:r>
      <w:r w:rsidRPr="00FE3138">
        <w:rPr>
          <w:rFonts w:ascii="Times New Roman" w:eastAsia="Times New Roman" w:hAnsi="Times New Roman" w:cs="Times New Roman"/>
          <w:color w:val="000000" w:themeColor="text1"/>
          <w:sz w:val="24"/>
          <w:szCs w:val="24"/>
          <w:lang w:val="en-GB" w:eastAsia="en-GB"/>
        </w:rPr>
        <w:t xml:space="preserve">which is carried out every year to apportion and </w:t>
      </w:r>
      <w:r w:rsidR="00AE3E84" w:rsidRPr="00FE3138">
        <w:rPr>
          <w:rFonts w:ascii="Times New Roman" w:eastAsia="Times New Roman" w:hAnsi="Times New Roman" w:cs="Times New Roman"/>
          <w:color w:val="000000" w:themeColor="text1"/>
          <w:sz w:val="24"/>
          <w:szCs w:val="24"/>
          <w:lang w:val="en-GB" w:eastAsia="en-GB"/>
        </w:rPr>
        <w:t xml:space="preserve">strategize </w:t>
      </w:r>
      <w:r w:rsidRPr="00FE3138">
        <w:rPr>
          <w:rFonts w:ascii="Times New Roman" w:eastAsia="Times New Roman" w:hAnsi="Times New Roman" w:cs="Times New Roman"/>
          <w:color w:val="000000" w:themeColor="text1"/>
          <w:sz w:val="24"/>
          <w:szCs w:val="24"/>
          <w:lang w:val="en-GB" w:eastAsia="en-GB"/>
        </w:rPr>
        <w:t xml:space="preserve">the </w:t>
      </w:r>
      <w:r w:rsidR="00AE3E84" w:rsidRPr="00FE3138">
        <w:rPr>
          <w:rFonts w:ascii="Times New Roman" w:eastAsia="Times New Roman" w:hAnsi="Times New Roman" w:cs="Times New Roman"/>
          <w:color w:val="000000" w:themeColor="text1"/>
          <w:sz w:val="24"/>
          <w:szCs w:val="24"/>
          <w:lang w:val="en-GB" w:eastAsia="en-GB"/>
        </w:rPr>
        <w:t>accounting</w:t>
      </w:r>
      <w:r w:rsidRPr="00FE3138">
        <w:rPr>
          <w:rFonts w:ascii="Times New Roman" w:eastAsia="Times New Roman" w:hAnsi="Times New Roman" w:cs="Times New Roman"/>
          <w:color w:val="000000" w:themeColor="text1"/>
          <w:sz w:val="24"/>
          <w:szCs w:val="24"/>
          <w:lang w:val="en-GB" w:eastAsia="en-GB"/>
        </w:rPr>
        <w:t xml:space="preserve"> needs and financial budgets and allocations on the plans of the new investment, targets, expectations, trends, and many othe</w:t>
      </w:r>
      <w:r w:rsidRPr="00FE3138">
        <w:rPr>
          <w:rFonts w:ascii="Times New Roman" w:eastAsia="Times New Roman" w:hAnsi="Times New Roman" w:cs="Times New Roman"/>
          <w:color w:val="000000" w:themeColor="text1"/>
          <w:sz w:val="24"/>
          <w:szCs w:val="24"/>
          <w:lang w:val="en-GB" w:eastAsia="en-GB"/>
        </w:rPr>
        <w:t>r aspects</w:t>
      </w:r>
      <w:r w:rsidR="00FE3138">
        <w:rPr>
          <w:rFonts w:ascii="Times New Roman" w:eastAsia="Times New Roman" w:hAnsi="Times New Roman" w:cs="Times New Roman"/>
          <w:color w:val="000000" w:themeColor="text1"/>
          <w:sz w:val="24"/>
          <w:szCs w:val="24"/>
          <w:lang w:val="en-GB" w:eastAsia="en-GB"/>
        </w:rPr>
        <w:t xml:space="preserve"> </w:t>
      </w:r>
      <w:r w:rsidR="00FE3138">
        <w:rPr>
          <w:rFonts w:ascii="Times New Roman" w:eastAsia="Times New Roman" w:hAnsi="Times New Roman" w:cs="Times New Roman"/>
          <w:color w:val="000000" w:themeColor="text1"/>
          <w:sz w:val="24"/>
          <w:szCs w:val="24"/>
        </w:rPr>
        <w:t>(</w:t>
      </w:r>
      <w:r w:rsidR="00FE3138" w:rsidRPr="00FE3138">
        <w:rPr>
          <w:rFonts w:ascii="Times New Roman" w:eastAsia="Times New Roman" w:hAnsi="Times New Roman" w:cs="Times New Roman"/>
          <w:color w:val="000000" w:themeColor="text1"/>
          <w:sz w:val="24"/>
          <w:szCs w:val="24"/>
        </w:rPr>
        <w:t xml:space="preserve">Büyüközkan, </w:t>
      </w:r>
      <w:r w:rsidR="00FE3138">
        <w:rPr>
          <w:rFonts w:ascii="Times New Roman" w:eastAsia="Times New Roman" w:hAnsi="Times New Roman" w:cs="Times New Roman"/>
          <w:color w:val="000000" w:themeColor="text1"/>
          <w:sz w:val="24"/>
          <w:szCs w:val="24"/>
        </w:rPr>
        <w:t xml:space="preserve">Çifçi, </w:t>
      </w:r>
      <w:r w:rsidR="00FE3138" w:rsidRPr="00FE3138">
        <w:rPr>
          <w:rFonts w:ascii="Times New Roman" w:eastAsia="Times New Roman" w:hAnsi="Times New Roman" w:cs="Times New Roman"/>
          <w:color w:val="000000" w:themeColor="text1"/>
          <w:sz w:val="24"/>
          <w:szCs w:val="24"/>
        </w:rPr>
        <w:t>&amp; Güleryüz, 2011)</w:t>
      </w:r>
      <w:r w:rsidRPr="00FE3138">
        <w:rPr>
          <w:rFonts w:ascii="Times New Roman" w:eastAsia="Times New Roman" w:hAnsi="Times New Roman" w:cs="Times New Roman"/>
          <w:color w:val="000000" w:themeColor="text1"/>
          <w:sz w:val="24"/>
          <w:szCs w:val="24"/>
          <w:lang w:val="en-GB" w:eastAsia="en-GB"/>
        </w:rPr>
        <w:t xml:space="preserve">. </w:t>
      </w:r>
      <w:r w:rsidR="00F57366" w:rsidRPr="00FE3138">
        <w:rPr>
          <w:rFonts w:ascii="Times New Roman" w:eastAsia="Times New Roman" w:hAnsi="Times New Roman" w:cs="Times New Roman"/>
          <w:color w:val="000000" w:themeColor="text1"/>
          <w:sz w:val="24"/>
          <w:szCs w:val="24"/>
          <w:lang w:val="en-GB" w:eastAsia="en-GB"/>
        </w:rPr>
        <w:t xml:space="preserve">The exercise of financial planning needs a coordination and integrated support in different core functions such as support teams, operational, marketing, and business teams in ensuring a financial plan is made which bring into line with the short-term and long-term strategic and </w:t>
      </w:r>
      <w:r w:rsidR="00F57366" w:rsidRPr="00FE3138">
        <w:rPr>
          <w:rFonts w:ascii="Times New Roman" w:eastAsia="Times New Roman" w:hAnsi="Times New Roman" w:cs="Times New Roman"/>
          <w:color w:val="000000" w:themeColor="text1"/>
          <w:sz w:val="24"/>
          <w:szCs w:val="24"/>
          <w:lang w:val="en-GB" w:eastAsia="en-GB"/>
        </w:rPr>
        <w:lastRenderedPageBreak/>
        <w:t xml:space="preserve">tactical objectives of the entire organization as well as functions/sub-functions of the companies. In this scenario of Nouveau Health, the parent company investment (Krona Community Hospital) plan shall form one of the significant forecasting exercise </w:t>
      </w:r>
      <w:r w:rsidR="00406EB4" w:rsidRPr="00FE3138">
        <w:rPr>
          <w:rFonts w:ascii="Times New Roman" w:eastAsia="Times New Roman" w:hAnsi="Times New Roman" w:cs="Times New Roman"/>
          <w:color w:val="000000" w:themeColor="text1"/>
          <w:sz w:val="24"/>
          <w:szCs w:val="24"/>
          <w:lang w:val="en-GB" w:eastAsia="en-GB"/>
        </w:rPr>
        <w:t>elements</w:t>
      </w:r>
      <w:r w:rsidR="00F57366" w:rsidRPr="00FE3138">
        <w:rPr>
          <w:rFonts w:ascii="Times New Roman" w:eastAsia="Times New Roman" w:hAnsi="Times New Roman" w:cs="Times New Roman"/>
          <w:color w:val="000000" w:themeColor="text1"/>
          <w:sz w:val="24"/>
          <w:szCs w:val="24"/>
          <w:lang w:val="en-GB" w:eastAsia="en-GB"/>
        </w:rPr>
        <w:t xml:space="preserve"> as these plans will have reflections and important changes across overall profitability, investments, fixed/variable costs, revenue generations, and patient inflows</w:t>
      </w:r>
      <w:r w:rsidR="000902A7">
        <w:rPr>
          <w:rFonts w:ascii="Times New Roman" w:eastAsia="Times New Roman" w:hAnsi="Times New Roman" w:cs="Times New Roman"/>
          <w:color w:val="000000" w:themeColor="text1"/>
          <w:sz w:val="24"/>
          <w:szCs w:val="24"/>
          <w:lang w:val="en-GB" w:eastAsia="en-GB"/>
        </w:rPr>
        <w:t xml:space="preserve"> </w:t>
      </w:r>
      <w:r w:rsidR="000902A7">
        <w:rPr>
          <w:color w:val="000000" w:themeColor="text1"/>
        </w:rPr>
        <w:t>(</w:t>
      </w:r>
      <w:r w:rsidR="000902A7" w:rsidRPr="00FE3138">
        <w:rPr>
          <w:rFonts w:ascii="Times New Roman" w:eastAsia="Times New Roman" w:hAnsi="Times New Roman" w:cs="Times New Roman"/>
          <w:color w:val="000000" w:themeColor="text1"/>
          <w:sz w:val="24"/>
          <w:szCs w:val="24"/>
        </w:rPr>
        <w:t>Ettorchi-Tardy, Levif, &amp; Michel, 2012)</w:t>
      </w:r>
      <w:r w:rsidR="00F57366" w:rsidRPr="00FE3138">
        <w:rPr>
          <w:rFonts w:ascii="Times New Roman" w:eastAsia="Times New Roman" w:hAnsi="Times New Roman" w:cs="Times New Roman"/>
          <w:color w:val="000000" w:themeColor="text1"/>
          <w:sz w:val="24"/>
          <w:szCs w:val="24"/>
          <w:lang w:val="en-GB" w:eastAsia="en-GB"/>
        </w:rPr>
        <w:t>.</w:t>
      </w:r>
      <w:r w:rsidR="00406EB4" w:rsidRPr="00FE3138">
        <w:rPr>
          <w:rFonts w:ascii="Times New Roman" w:eastAsia="Times New Roman" w:hAnsi="Times New Roman" w:cs="Times New Roman"/>
          <w:color w:val="000000" w:themeColor="text1"/>
          <w:sz w:val="24"/>
          <w:szCs w:val="24"/>
          <w:lang w:val="en-GB" w:eastAsia="en-GB"/>
        </w:rPr>
        <w:t xml:space="preserve"> The organization has </w:t>
      </w:r>
      <w:r w:rsidR="00272379" w:rsidRPr="00FE3138">
        <w:rPr>
          <w:rFonts w:ascii="Times New Roman" w:eastAsia="Times New Roman" w:hAnsi="Times New Roman" w:cs="Times New Roman"/>
          <w:color w:val="000000" w:themeColor="text1"/>
          <w:sz w:val="24"/>
          <w:szCs w:val="24"/>
          <w:lang w:val="en-GB" w:eastAsia="en-GB"/>
        </w:rPr>
        <w:t>a total yearly income of $ 60,00</w:t>
      </w:r>
      <w:r w:rsidR="00406EB4" w:rsidRPr="00FE3138">
        <w:rPr>
          <w:rFonts w:ascii="Times New Roman" w:eastAsia="Times New Roman" w:hAnsi="Times New Roman" w:cs="Times New Roman"/>
          <w:color w:val="000000" w:themeColor="text1"/>
          <w:sz w:val="24"/>
          <w:szCs w:val="24"/>
          <w:lang w:val="en-GB" w:eastAsia="en-GB"/>
        </w:rPr>
        <w:t xml:space="preserve">0,000 derived from different units of services provided to outpatient and inpatient divisions that contribute about 66.6% to it. </w:t>
      </w:r>
    </w:p>
    <w:p w14:paraId="1091C45C" w14:textId="355C7515" w:rsidR="00312BBB" w:rsidRPr="00FE3138" w:rsidRDefault="00044E59" w:rsidP="00E36142">
      <w:pPr>
        <w:shd w:val="clear" w:color="auto" w:fill="FFFFFF"/>
        <w:spacing w:after="0" w:line="480" w:lineRule="auto"/>
        <w:ind w:firstLine="720"/>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The exercise of monetary arrangement need</w:t>
      </w:r>
      <w:r w:rsidRPr="00FE3138">
        <w:rPr>
          <w:rFonts w:ascii="Times New Roman" w:eastAsia="Times New Roman" w:hAnsi="Times New Roman" w:cs="Times New Roman"/>
          <w:color w:val="000000" w:themeColor="text1"/>
          <w:sz w:val="24"/>
          <w:szCs w:val="24"/>
          <w:lang w:val="en-GB" w:eastAsia="en-GB"/>
        </w:rPr>
        <w:t xml:space="preserve">s co-appointment and a coordinated backing in various center capacities such as operational, showcasing, business, and other </w:t>
      </w:r>
      <w:r w:rsidR="007B5267" w:rsidRPr="00FE3138">
        <w:rPr>
          <w:rFonts w:ascii="Times New Roman" w:eastAsia="Times New Roman" w:hAnsi="Times New Roman" w:cs="Times New Roman"/>
          <w:color w:val="000000" w:themeColor="text1"/>
          <w:sz w:val="24"/>
          <w:szCs w:val="24"/>
          <w:lang w:val="en-GB" w:eastAsia="en-GB"/>
        </w:rPr>
        <w:t>booster groups in guaranteeing money associated arrangements</w:t>
      </w:r>
      <w:r w:rsidR="00FE3138">
        <w:rPr>
          <w:rFonts w:ascii="Times New Roman" w:eastAsia="Times New Roman" w:hAnsi="Times New Roman" w:cs="Times New Roman"/>
          <w:color w:val="000000" w:themeColor="text1"/>
          <w:sz w:val="24"/>
          <w:szCs w:val="24"/>
          <w:lang w:val="en-GB" w:eastAsia="en-GB"/>
        </w:rPr>
        <w:t xml:space="preserve"> </w:t>
      </w:r>
      <w:r w:rsidR="00FE3138">
        <w:rPr>
          <w:rFonts w:ascii="Times New Roman" w:eastAsia="Times New Roman" w:hAnsi="Times New Roman" w:cs="Times New Roman"/>
          <w:color w:val="000000" w:themeColor="text1"/>
          <w:sz w:val="24"/>
          <w:szCs w:val="24"/>
        </w:rPr>
        <w:t>(</w:t>
      </w:r>
      <w:r w:rsidR="00FE3138" w:rsidRPr="00FE3138">
        <w:rPr>
          <w:rFonts w:ascii="Times New Roman" w:eastAsia="Times New Roman" w:hAnsi="Times New Roman" w:cs="Times New Roman"/>
          <w:color w:val="000000" w:themeColor="text1"/>
          <w:sz w:val="24"/>
          <w:szCs w:val="24"/>
        </w:rPr>
        <w:t xml:space="preserve">Büyüközkan, </w:t>
      </w:r>
      <w:r w:rsidR="00FE3138">
        <w:rPr>
          <w:rFonts w:ascii="Times New Roman" w:eastAsia="Times New Roman" w:hAnsi="Times New Roman" w:cs="Times New Roman"/>
          <w:color w:val="000000" w:themeColor="text1"/>
          <w:sz w:val="24"/>
          <w:szCs w:val="24"/>
        </w:rPr>
        <w:t xml:space="preserve">Çifçi, </w:t>
      </w:r>
      <w:r w:rsidR="00FE3138" w:rsidRPr="00FE3138">
        <w:rPr>
          <w:rFonts w:ascii="Times New Roman" w:eastAsia="Times New Roman" w:hAnsi="Times New Roman" w:cs="Times New Roman"/>
          <w:color w:val="000000" w:themeColor="text1"/>
          <w:sz w:val="24"/>
          <w:szCs w:val="24"/>
        </w:rPr>
        <w:t>&amp; Güleryüz, 2011)</w:t>
      </w:r>
      <w:r w:rsidR="007B5267" w:rsidRPr="00FE3138">
        <w:rPr>
          <w:rFonts w:ascii="Times New Roman" w:eastAsia="Times New Roman" w:hAnsi="Times New Roman" w:cs="Times New Roman"/>
          <w:color w:val="000000" w:themeColor="text1"/>
          <w:sz w:val="24"/>
          <w:szCs w:val="24"/>
          <w:lang w:val="en-GB" w:eastAsia="en-GB"/>
        </w:rPr>
        <w:t xml:space="preserve">. The related arrangements are prepared and they align to the vital goals and the long haul strategic and transient objectives of the company and the various sub-elements and capacities of the firm. </w:t>
      </w:r>
      <w:r w:rsidR="0000242E" w:rsidRPr="00FE3138">
        <w:rPr>
          <w:rFonts w:ascii="Times New Roman" w:eastAsia="Times New Roman" w:hAnsi="Times New Roman" w:cs="Times New Roman"/>
          <w:color w:val="000000" w:themeColor="text1"/>
          <w:sz w:val="24"/>
          <w:szCs w:val="24"/>
          <w:lang w:val="en-GB" w:eastAsia="en-GB"/>
        </w:rPr>
        <w:t>In case there would be an increase in Krona Community occurrence, the parent company venture arrangement, Nouveau Health shall structure one of the imperative elements of the establishing exercises as these arrangements might have critical changes. The company has positive net benefits, EBIDTA, and working benefits showing a solid image</w:t>
      </w:r>
      <w:r w:rsidR="000902A7">
        <w:rPr>
          <w:rFonts w:ascii="Times New Roman" w:eastAsia="Times New Roman" w:hAnsi="Times New Roman" w:cs="Times New Roman"/>
          <w:color w:val="000000" w:themeColor="text1"/>
          <w:sz w:val="24"/>
          <w:szCs w:val="24"/>
          <w:lang w:val="en-GB" w:eastAsia="en-GB"/>
        </w:rPr>
        <w:t xml:space="preserve"> </w:t>
      </w:r>
      <w:r w:rsidR="000902A7">
        <w:rPr>
          <w:color w:val="000000" w:themeColor="text1"/>
        </w:rPr>
        <w:t>(</w:t>
      </w:r>
      <w:r w:rsidR="000902A7" w:rsidRPr="00FE3138">
        <w:rPr>
          <w:rFonts w:ascii="Times New Roman" w:eastAsia="Times New Roman" w:hAnsi="Times New Roman" w:cs="Times New Roman"/>
          <w:color w:val="000000" w:themeColor="text1"/>
          <w:sz w:val="24"/>
          <w:szCs w:val="24"/>
        </w:rPr>
        <w:t>Ettorchi-Tardy, Levif, &amp; Michel, 2012)</w:t>
      </w:r>
      <w:r w:rsidR="0000242E" w:rsidRPr="00FE3138">
        <w:rPr>
          <w:rFonts w:ascii="Times New Roman" w:eastAsia="Times New Roman" w:hAnsi="Times New Roman" w:cs="Times New Roman"/>
          <w:color w:val="000000" w:themeColor="text1"/>
          <w:sz w:val="24"/>
          <w:szCs w:val="24"/>
          <w:lang w:val="en-GB" w:eastAsia="en-GB"/>
        </w:rPr>
        <w:t xml:space="preserve">. </w:t>
      </w:r>
      <w:r w:rsidR="00002C1F" w:rsidRPr="00FE3138">
        <w:rPr>
          <w:rFonts w:ascii="Times New Roman" w:eastAsia="Times New Roman" w:hAnsi="Times New Roman" w:cs="Times New Roman"/>
          <w:color w:val="000000" w:themeColor="text1"/>
          <w:sz w:val="24"/>
          <w:szCs w:val="24"/>
          <w:lang w:val="en-GB" w:eastAsia="en-GB"/>
        </w:rPr>
        <w:t>Moreover, the net revenues are 18.9% that are again perfect proportions.</w:t>
      </w:r>
    </w:p>
    <w:p w14:paraId="409C1F5D" w14:textId="2853E8D1" w:rsidR="00312BBB" w:rsidRPr="00FE3138"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The net earnings and revenues for the prior-year were $ 20 million and $ 206 million respectively equal to $ 2.00 </w:t>
      </w:r>
      <w:r w:rsidRPr="00FE3138">
        <w:rPr>
          <w:rFonts w:ascii="Times New Roman" w:eastAsia="Times New Roman" w:hAnsi="Times New Roman" w:cs="Times New Roman"/>
          <w:color w:val="000000" w:themeColor="text1"/>
          <w:sz w:val="24"/>
          <w:szCs w:val="24"/>
          <w:lang w:val="en-GB" w:eastAsia="en-GB"/>
        </w:rPr>
        <w:t>per common stock share</w:t>
      </w:r>
      <w:r w:rsidR="00FE3138">
        <w:rPr>
          <w:rFonts w:ascii="Times New Roman" w:eastAsia="Times New Roman" w:hAnsi="Times New Roman" w:cs="Times New Roman"/>
          <w:color w:val="000000" w:themeColor="text1"/>
          <w:sz w:val="24"/>
          <w:szCs w:val="24"/>
          <w:lang w:val="en-GB" w:eastAsia="en-GB"/>
        </w:rPr>
        <w:t xml:space="preserve"> </w:t>
      </w:r>
      <w:r w:rsidR="00FE3138">
        <w:rPr>
          <w:rFonts w:ascii="Times New Roman" w:eastAsia="Times New Roman" w:hAnsi="Times New Roman" w:cs="Times New Roman"/>
          <w:color w:val="000000" w:themeColor="text1"/>
          <w:sz w:val="24"/>
          <w:szCs w:val="24"/>
        </w:rPr>
        <w:t>(</w:t>
      </w:r>
      <w:r w:rsidR="00FE3138" w:rsidRPr="00FE3138">
        <w:rPr>
          <w:rFonts w:ascii="Times New Roman" w:eastAsia="Times New Roman" w:hAnsi="Times New Roman" w:cs="Times New Roman"/>
          <w:color w:val="000000" w:themeColor="text1"/>
          <w:sz w:val="24"/>
          <w:szCs w:val="24"/>
        </w:rPr>
        <w:t xml:space="preserve">Büyüközkan, </w:t>
      </w:r>
      <w:r w:rsidR="00FE3138">
        <w:rPr>
          <w:rFonts w:ascii="Times New Roman" w:eastAsia="Times New Roman" w:hAnsi="Times New Roman" w:cs="Times New Roman"/>
          <w:color w:val="000000" w:themeColor="text1"/>
          <w:sz w:val="24"/>
          <w:szCs w:val="24"/>
        </w:rPr>
        <w:t xml:space="preserve">Çifçi, </w:t>
      </w:r>
      <w:r w:rsidR="00FE3138" w:rsidRPr="00FE3138">
        <w:rPr>
          <w:rFonts w:ascii="Times New Roman" w:eastAsia="Times New Roman" w:hAnsi="Times New Roman" w:cs="Times New Roman"/>
          <w:color w:val="000000" w:themeColor="text1"/>
          <w:sz w:val="24"/>
          <w:szCs w:val="24"/>
        </w:rPr>
        <w:t>&amp; Güleryüz, 2011)</w:t>
      </w:r>
      <w:r w:rsidRPr="00FE3138">
        <w:rPr>
          <w:rFonts w:ascii="Times New Roman" w:eastAsia="Times New Roman" w:hAnsi="Times New Roman" w:cs="Times New Roman"/>
          <w:color w:val="000000" w:themeColor="text1"/>
          <w:sz w:val="24"/>
          <w:szCs w:val="24"/>
          <w:lang w:val="en-GB" w:eastAsia="en-GB"/>
        </w:rPr>
        <w:t>. The corporation is performing well and in sound financial conditions. The health care users highly regard the products of our company. The team shall make decisions for each period associating w</w:t>
      </w:r>
      <w:r w:rsidRPr="00FE3138">
        <w:rPr>
          <w:rFonts w:ascii="Times New Roman" w:eastAsia="Times New Roman" w:hAnsi="Times New Roman" w:cs="Times New Roman"/>
          <w:color w:val="000000" w:themeColor="text1"/>
          <w:sz w:val="24"/>
          <w:szCs w:val="24"/>
          <w:lang w:val="en-GB" w:eastAsia="en-GB"/>
        </w:rPr>
        <w:t>ith the designs and performances of the camera lines that include the financing, marketing, pricing of company operations, worker compensation, and production operations</w:t>
      </w:r>
      <w:r w:rsidR="000902A7">
        <w:rPr>
          <w:rFonts w:ascii="Times New Roman" w:eastAsia="Times New Roman" w:hAnsi="Times New Roman" w:cs="Times New Roman"/>
          <w:color w:val="000000" w:themeColor="text1"/>
          <w:sz w:val="24"/>
          <w:szCs w:val="24"/>
          <w:lang w:val="en-GB" w:eastAsia="en-GB"/>
        </w:rPr>
        <w:t xml:space="preserve"> </w:t>
      </w:r>
      <w:r w:rsidR="000902A7">
        <w:rPr>
          <w:color w:val="000000" w:themeColor="text1"/>
        </w:rPr>
        <w:lastRenderedPageBreak/>
        <w:t>(</w:t>
      </w:r>
      <w:r w:rsidR="000902A7" w:rsidRPr="00FE3138">
        <w:rPr>
          <w:rFonts w:ascii="Times New Roman" w:eastAsia="Times New Roman" w:hAnsi="Times New Roman" w:cs="Times New Roman"/>
          <w:color w:val="000000" w:themeColor="text1"/>
          <w:sz w:val="24"/>
          <w:szCs w:val="24"/>
        </w:rPr>
        <w:t>Ettorchi-Tardy, Levif, &amp; Michel, 2012)</w:t>
      </w:r>
      <w:r w:rsidRPr="00FE3138">
        <w:rPr>
          <w:rFonts w:ascii="Times New Roman" w:eastAsia="Times New Roman" w:hAnsi="Times New Roman" w:cs="Times New Roman"/>
          <w:color w:val="000000" w:themeColor="text1"/>
          <w:sz w:val="24"/>
          <w:szCs w:val="24"/>
          <w:lang w:val="en-GB" w:eastAsia="en-GB"/>
        </w:rPr>
        <w:t>. Additionally, the team shall explore cost and</w:t>
      </w:r>
      <w:r w:rsidRPr="00FE3138">
        <w:rPr>
          <w:rFonts w:ascii="Times New Roman" w:eastAsia="Times New Roman" w:hAnsi="Times New Roman" w:cs="Times New Roman"/>
          <w:color w:val="000000" w:themeColor="text1"/>
          <w:sz w:val="24"/>
          <w:szCs w:val="24"/>
          <w:lang w:val="en-GB" w:eastAsia="en-GB"/>
        </w:rPr>
        <w:t xml:space="preserve"> accounting data, expectations of shareholders, fluctuations of the exchange rate, and import duties.  </w:t>
      </w:r>
    </w:p>
    <w:p w14:paraId="35B82456" w14:textId="4326BFE2" w:rsidR="00EC4067" w:rsidRPr="00FE3138"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 </w:t>
      </w:r>
      <w:r w:rsidR="0043417E" w:rsidRPr="00FE3138">
        <w:rPr>
          <w:rFonts w:ascii="Times New Roman" w:eastAsia="Times New Roman" w:hAnsi="Times New Roman" w:cs="Times New Roman"/>
          <w:color w:val="000000" w:themeColor="text1"/>
          <w:sz w:val="24"/>
          <w:szCs w:val="24"/>
          <w:lang w:val="en-GB" w:eastAsia="en-GB"/>
        </w:rPr>
        <w:t>The real financial depiction or forecast are shown in the table I below</w:t>
      </w:r>
    </w:p>
    <w:p w14:paraId="33B60874" w14:textId="77777777" w:rsidR="005376E2" w:rsidRPr="00FE3138" w:rsidRDefault="00044E59" w:rsidP="003D6939">
      <w:pPr>
        <w:spacing w:line="480" w:lineRule="auto"/>
        <w:jc w:val="center"/>
        <w:rPr>
          <w:rFonts w:ascii="Times New Roman" w:hAnsi="Times New Roman" w:cs="Times New Roman"/>
          <w:color w:val="000000" w:themeColor="text1"/>
          <w:sz w:val="24"/>
          <w:szCs w:val="24"/>
        </w:rPr>
      </w:pPr>
      <w:r w:rsidRPr="00FE3138">
        <w:rPr>
          <w:rFonts w:ascii="Times New Roman" w:hAnsi="Times New Roman" w:cs="Times New Roman"/>
          <w:color w:val="000000" w:themeColor="text1"/>
          <w:sz w:val="24"/>
          <w:szCs w:val="24"/>
        </w:rPr>
        <w:t>Projected Income Statement and Balance Sheet</w:t>
      </w:r>
    </w:p>
    <w:p w14:paraId="696F239A" w14:textId="77777777" w:rsidR="005376E2" w:rsidRPr="00FE3138" w:rsidRDefault="00044E59" w:rsidP="003D6939">
      <w:pPr>
        <w:spacing w:line="480" w:lineRule="auto"/>
        <w:rPr>
          <w:rFonts w:ascii="Times New Roman" w:hAnsi="Times New Roman" w:cs="Times New Roman"/>
          <w:color w:val="000000" w:themeColor="text1"/>
          <w:sz w:val="24"/>
          <w:szCs w:val="24"/>
        </w:rPr>
      </w:pPr>
      <w:r w:rsidRPr="00FE3138">
        <w:rPr>
          <w:rFonts w:ascii="Times New Roman" w:hAnsi="Times New Roman" w:cs="Times New Roman"/>
          <w:color w:val="000000" w:themeColor="text1"/>
          <w:sz w:val="24"/>
          <w:szCs w:val="24"/>
        </w:rPr>
        <w:t xml:space="preserve">Income Statement </w:t>
      </w:r>
    </w:p>
    <w:tbl>
      <w:tblPr>
        <w:tblStyle w:val="TableGrid"/>
        <w:tblW w:w="0" w:type="auto"/>
        <w:tblInd w:w="-792" w:type="dxa"/>
        <w:tblLook w:val="04A0" w:firstRow="1" w:lastRow="0" w:firstColumn="1" w:lastColumn="0" w:noHBand="0" w:noVBand="1"/>
      </w:tblPr>
      <w:tblGrid>
        <w:gridCol w:w="2382"/>
        <w:gridCol w:w="1552"/>
        <w:gridCol w:w="1552"/>
        <w:gridCol w:w="1552"/>
        <w:gridCol w:w="1552"/>
        <w:gridCol w:w="1552"/>
      </w:tblGrid>
      <w:tr w:rsidR="003213AD" w14:paraId="055A3562" w14:textId="77777777" w:rsidTr="00A03E75">
        <w:tc>
          <w:tcPr>
            <w:tcW w:w="2458" w:type="dxa"/>
          </w:tcPr>
          <w:p w14:paraId="67B5C68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Project Performance </w:t>
            </w:r>
          </w:p>
        </w:tc>
        <w:tc>
          <w:tcPr>
            <w:tcW w:w="1582" w:type="dxa"/>
          </w:tcPr>
          <w:p w14:paraId="438D0A7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2019</w:t>
            </w:r>
          </w:p>
        </w:tc>
        <w:tc>
          <w:tcPr>
            <w:tcW w:w="1582" w:type="dxa"/>
          </w:tcPr>
          <w:p w14:paraId="14D8767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2020</w:t>
            </w:r>
          </w:p>
        </w:tc>
        <w:tc>
          <w:tcPr>
            <w:tcW w:w="1582" w:type="dxa"/>
          </w:tcPr>
          <w:p w14:paraId="4F4676C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2021</w:t>
            </w:r>
          </w:p>
        </w:tc>
        <w:tc>
          <w:tcPr>
            <w:tcW w:w="1582" w:type="dxa"/>
          </w:tcPr>
          <w:p w14:paraId="5D4749D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2022</w:t>
            </w:r>
          </w:p>
        </w:tc>
        <w:tc>
          <w:tcPr>
            <w:tcW w:w="1582" w:type="dxa"/>
          </w:tcPr>
          <w:p w14:paraId="12E8BAF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2023</w:t>
            </w:r>
          </w:p>
        </w:tc>
      </w:tr>
      <w:tr w:rsidR="003213AD" w14:paraId="26FC7EE5" w14:textId="77777777" w:rsidTr="00A03E75">
        <w:tc>
          <w:tcPr>
            <w:tcW w:w="2458" w:type="dxa"/>
          </w:tcPr>
          <w:p w14:paraId="70BEB04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Sales </w:t>
            </w:r>
          </w:p>
        </w:tc>
        <w:tc>
          <w:tcPr>
            <w:tcW w:w="1582" w:type="dxa"/>
          </w:tcPr>
          <w:p w14:paraId="5E7DEFD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$ 2,000,000</w:t>
            </w:r>
          </w:p>
        </w:tc>
        <w:tc>
          <w:tcPr>
            <w:tcW w:w="1582" w:type="dxa"/>
          </w:tcPr>
          <w:p w14:paraId="206790D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$ 2,100,000</w:t>
            </w:r>
          </w:p>
        </w:tc>
        <w:tc>
          <w:tcPr>
            <w:tcW w:w="1582" w:type="dxa"/>
          </w:tcPr>
          <w:p w14:paraId="402C00E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$ 2,150,000</w:t>
            </w:r>
          </w:p>
        </w:tc>
        <w:tc>
          <w:tcPr>
            <w:tcW w:w="1582" w:type="dxa"/>
          </w:tcPr>
          <w:p w14:paraId="732BDA0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$ 2,200,000</w:t>
            </w:r>
          </w:p>
        </w:tc>
        <w:tc>
          <w:tcPr>
            <w:tcW w:w="1582" w:type="dxa"/>
          </w:tcPr>
          <w:p w14:paraId="7459757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$ 2,300,000</w:t>
            </w:r>
          </w:p>
        </w:tc>
      </w:tr>
      <w:tr w:rsidR="003213AD" w14:paraId="786604A6" w14:textId="77777777" w:rsidTr="00A03E75">
        <w:tc>
          <w:tcPr>
            <w:tcW w:w="2458" w:type="dxa"/>
          </w:tcPr>
          <w:p w14:paraId="3F9CEC3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Gross margin </w:t>
            </w:r>
          </w:p>
        </w:tc>
        <w:tc>
          <w:tcPr>
            <w:tcW w:w="1582" w:type="dxa"/>
          </w:tcPr>
          <w:p w14:paraId="021F99D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$ 1,000,000</w:t>
            </w:r>
          </w:p>
        </w:tc>
        <w:tc>
          <w:tcPr>
            <w:tcW w:w="1582" w:type="dxa"/>
          </w:tcPr>
          <w:p w14:paraId="115E3B2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$ 1,100,000</w:t>
            </w:r>
          </w:p>
        </w:tc>
        <w:tc>
          <w:tcPr>
            <w:tcW w:w="1582" w:type="dxa"/>
          </w:tcPr>
          <w:p w14:paraId="671023C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$ 1,150,000</w:t>
            </w:r>
          </w:p>
        </w:tc>
        <w:tc>
          <w:tcPr>
            <w:tcW w:w="1582" w:type="dxa"/>
          </w:tcPr>
          <w:p w14:paraId="71398D9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$ 1,200,000</w:t>
            </w:r>
          </w:p>
        </w:tc>
        <w:tc>
          <w:tcPr>
            <w:tcW w:w="1582" w:type="dxa"/>
          </w:tcPr>
          <w:p w14:paraId="47FAB7B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$ 1,250,000</w:t>
            </w:r>
          </w:p>
        </w:tc>
      </w:tr>
      <w:tr w:rsidR="003213AD" w14:paraId="75785220" w14:textId="77777777" w:rsidTr="00A03E75">
        <w:tc>
          <w:tcPr>
            <w:tcW w:w="2458" w:type="dxa"/>
          </w:tcPr>
          <w:p w14:paraId="7CCD3E1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Gross margin %</w:t>
            </w:r>
          </w:p>
        </w:tc>
        <w:tc>
          <w:tcPr>
            <w:tcW w:w="1582" w:type="dxa"/>
          </w:tcPr>
          <w:p w14:paraId="68D45791"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50.00%</w:t>
            </w:r>
          </w:p>
        </w:tc>
        <w:tc>
          <w:tcPr>
            <w:tcW w:w="1582" w:type="dxa"/>
          </w:tcPr>
          <w:p w14:paraId="353033B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52.38%</w:t>
            </w:r>
          </w:p>
        </w:tc>
        <w:tc>
          <w:tcPr>
            <w:tcW w:w="1582" w:type="dxa"/>
          </w:tcPr>
          <w:p w14:paraId="153CA56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53.48%</w:t>
            </w:r>
          </w:p>
        </w:tc>
        <w:tc>
          <w:tcPr>
            <w:tcW w:w="1582" w:type="dxa"/>
          </w:tcPr>
          <w:p w14:paraId="52A1796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54.55%</w:t>
            </w:r>
          </w:p>
        </w:tc>
        <w:tc>
          <w:tcPr>
            <w:tcW w:w="1582" w:type="dxa"/>
          </w:tcPr>
          <w:p w14:paraId="17BAD48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54.35%</w:t>
            </w:r>
          </w:p>
        </w:tc>
      </w:tr>
      <w:tr w:rsidR="003213AD" w14:paraId="430C8D02" w14:textId="77777777" w:rsidTr="00A03E75">
        <w:tc>
          <w:tcPr>
            <w:tcW w:w="2458" w:type="dxa"/>
          </w:tcPr>
          <w:p w14:paraId="23F384F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Operating expenses </w:t>
            </w:r>
          </w:p>
        </w:tc>
        <w:tc>
          <w:tcPr>
            <w:tcW w:w="1582" w:type="dxa"/>
          </w:tcPr>
          <w:p w14:paraId="5040F4E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$ 600,000</w:t>
            </w:r>
          </w:p>
        </w:tc>
        <w:tc>
          <w:tcPr>
            <w:tcW w:w="1582" w:type="dxa"/>
          </w:tcPr>
          <w:p w14:paraId="670162A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$650,000</w:t>
            </w:r>
          </w:p>
        </w:tc>
        <w:tc>
          <w:tcPr>
            <w:tcW w:w="1582" w:type="dxa"/>
          </w:tcPr>
          <w:p w14:paraId="3B331EE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$ 725,000</w:t>
            </w:r>
          </w:p>
        </w:tc>
        <w:tc>
          <w:tcPr>
            <w:tcW w:w="1582" w:type="dxa"/>
          </w:tcPr>
          <w:p w14:paraId="3335432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$ 750,000</w:t>
            </w:r>
          </w:p>
        </w:tc>
        <w:tc>
          <w:tcPr>
            <w:tcW w:w="1582" w:type="dxa"/>
          </w:tcPr>
          <w:p w14:paraId="1D5E3B1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$ 800,000</w:t>
            </w:r>
          </w:p>
        </w:tc>
      </w:tr>
      <w:tr w:rsidR="003213AD" w14:paraId="332E0FD6" w14:textId="77777777" w:rsidTr="00A03E75">
        <w:tc>
          <w:tcPr>
            <w:tcW w:w="2458" w:type="dxa"/>
          </w:tcPr>
          <w:p w14:paraId="538A686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Inventory turnover </w:t>
            </w:r>
          </w:p>
        </w:tc>
        <w:tc>
          <w:tcPr>
            <w:tcW w:w="1582" w:type="dxa"/>
          </w:tcPr>
          <w:p w14:paraId="7FD4401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3.33</w:t>
            </w:r>
          </w:p>
        </w:tc>
        <w:tc>
          <w:tcPr>
            <w:tcW w:w="1582" w:type="dxa"/>
          </w:tcPr>
          <w:p w14:paraId="0CAB71D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3.23</w:t>
            </w:r>
          </w:p>
        </w:tc>
        <w:tc>
          <w:tcPr>
            <w:tcW w:w="1582" w:type="dxa"/>
          </w:tcPr>
          <w:p w14:paraId="283A596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2.87</w:t>
            </w:r>
          </w:p>
        </w:tc>
        <w:tc>
          <w:tcPr>
            <w:tcW w:w="1582" w:type="dxa"/>
          </w:tcPr>
          <w:p w14:paraId="6185D07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2.93</w:t>
            </w:r>
          </w:p>
        </w:tc>
        <w:tc>
          <w:tcPr>
            <w:tcW w:w="1582" w:type="dxa"/>
          </w:tcPr>
          <w:p w14:paraId="659C2B1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2.875</w:t>
            </w:r>
          </w:p>
        </w:tc>
      </w:tr>
    </w:tbl>
    <w:p w14:paraId="09224F99" w14:textId="77777777" w:rsidR="005376E2" w:rsidRPr="00FE3138" w:rsidRDefault="00044E59" w:rsidP="003D6939">
      <w:pPr>
        <w:spacing w:line="480" w:lineRule="auto"/>
        <w:rPr>
          <w:rFonts w:ascii="Times New Roman" w:hAnsi="Times New Roman" w:cs="Times New Roman"/>
          <w:color w:val="000000" w:themeColor="text1"/>
          <w:sz w:val="24"/>
          <w:szCs w:val="24"/>
        </w:rPr>
      </w:pPr>
      <w:r w:rsidRPr="00FE3138">
        <w:rPr>
          <w:rFonts w:ascii="Times New Roman" w:hAnsi="Times New Roman" w:cs="Times New Roman"/>
          <w:color w:val="000000" w:themeColor="text1"/>
          <w:sz w:val="24"/>
          <w:szCs w:val="24"/>
        </w:rPr>
        <w:t>Balance Sheet</w:t>
      </w:r>
    </w:p>
    <w:tbl>
      <w:tblPr>
        <w:tblStyle w:val="TableGrid"/>
        <w:tblW w:w="10980" w:type="dxa"/>
        <w:tblInd w:w="-792" w:type="dxa"/>
        <w:tblLook w:val="04A0" w:firstRow="1" w:lastRow="0" w:firstColumn="1" w:lastColumn="0" w:noHBand="0" w:noVBand="1"/>
      </w:tblPr>
      <w:tblGrid>
        <w:gridCol w:w="3060"/>
        <w:gridCol w:w="1530"/>
        <w:gridCol w:w="1620"/>
        <w:gridCol w:w="1530"/>
        <w:gridCol w:w="1620"/>
        <w:gridCol w:w="1620"/>
      </w:tblGrid>
      <w:tr w:rsidR="003213AD" w14:paraId="3832D202" w14:textId="77777777" w:rsidTr="00A03E75">
        <w:tc>
          <w:tcPr>
            <w:tcW w:w="3060" w:type="dxa"/>
          </w:tcPr>
          <w:p w14:paraId="045465A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Project Performance </w:t>
            </w:r>
          </w:p>
        </w:tc>
        <w:tc>
          <w:tcPr>
            <w:tcW w:w="1530" w:type="dxa"/>
          </w:tcPr>
          <w:p w14:paraId="34CD16B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2019</w:t>
            </w:r>
          </w:p>
        </w:tc>
        <w:tc>
          <w:tcPr>
            <w:tcW w:w="1620" w:type="dxa"/>
          </w:tcPr>
          <w:p w14:paraId="3AEDD3F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2020</w:t>
            </w:r>
          </w:p>
        </w:tc>
        <w:tc>
          <w:tcPr>
            <w:tcW w:w="1530" w:type="dxa"/>
          </w:tcPr>
          <w:p w14:paraId="50E9378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2021</w:t>
            </w:r>
          </w:p>
        </w:tc>
        <w:tc>
          <w:tcPr>
            <w:tcW w:w="1620" w:type="dxa"/>
          </w:tcPr>
          <w:p w14:paraId="1E04ABA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2022</w:t>
            </w:r>
          </w:p>
        </w:tc>
        <w:tc>
          <w:tcPr>
            <w:tcW w:w="1620" w:type="dxa"/>
          </w:tcPr>
          <w:p w14:paraId="343A35E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2023</w:t>
            </w:r>
          </w:p>
        </w:tc>
      </w:tr>
      <w:tr w:rsidR="003213AD" w14:paraId="5FBFD667" w14:textId="77777777" w:rsidTr="00A03E75">
        <w:tc>
          <w:tcPr>
            <w:tcW w:w="3060" w:type="dxa"/>
          </w:tcPr>
          <w:p w14:paraId="10AF709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Cash </w:t>
            </w:r>
          </w:p>
        </w:tc>
        <w:tc>
          <w:tcPr>
            <w:tcW w:w="1530" w:type="dxa"/>
          </w:tcPr>
          <w:p w14:paraId="357E3C5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w:t>
            </w:r>
          </w:p>
        </w:tc>
        <w:tc>
          <w:tcPr>
            <w:tcW w:w="1620" w:type="dxa"/>
          </w:tcPr>
          <w:p w14:paraId="46DDFBB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$ 225,000</w:t>
            </w:r>
          </w:p>
        </w:tc>
        <w:tc>
          <w:tcPr>
            <w:tcW w:w="1530" w:type="dxa"/>
          </w:tcPr>
          <w:p w14:paraId="4D0EB66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 000</w:t>
            </w:r>
          </w:p>
        </w:tc>
        <w:tc>
          <w:tcPr>
            <w:tcW w:w="1620" w:type="dxa"/>
          </w:tcPr>
          <w:p w14:paraId="48798C1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$ 275,000</w:t>
            </w:r>
          </w:p>
        </w:tc>
        <w:tc>
          <w:tcPr>
            <w:tcW w:w="1620" w:type="dxa"/>
          </w:tcPr>
          <w:p w14:paraId="79FFA73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r>
      <w:tr w:rsidR="003213AD" w14:paraId="608CF5BE" w14:textId="77777777" w:rsidTr="00A03E75">
        <w:tc>
          <w:tcPr>
            <w:tcW w:w="3060" w:type="dxa"/>
          </w:tcPr>
          <w:p w14:paraId="5D91286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Account receivable </w:t>
            </w:r>
          </w:p>
        </w:tc>
        <w:tc>
          <w:tcPr>
            <w:tcW w:w="1530" w:type="dxa"/>
          </w:tcPr>
          <w:p w14:paraId="24C6C77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620" w:type="dxa"/>
          </w:tcPr>
          <w:p w14:paraId="78DFCD5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$ 230,000</w:t>
            </w:r>
          </w:p>
        </w:tc>
        <w:tc>
          <w:tcPr>
            <w:tcW w:w="1530" w:type="dxa"/>
          </w:tcPr>
          <w:p w14:paraId="3CD6698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$ 290,000</w:t>
            </w:r>
          </w:p>
        </w:tc>
        <w:tc>
          <w:tcPr>
            <w:tcW w:w="1620" w:type="dxa"/>
          </w:tcPr>
          <w:p w14:paraId="089AA2D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$ 425,000</w:t>
            </w:r>
          </w:p>
        </w:tc>
        <w:tc>
          <w:tcPr>
            <w:tcW w:w="1620" w:type="dxa"/>
          </w:tcPr>
          <w:p w14:paraId="2F65697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$ 540,000</w:t>
            </w:r>
          </w:p>
        </w:tc>
      </w:tr>
      <w:tr w:rsidR="003213AD" w14:paraId="619389AC" w14:textId="77777777" w:rsidTr="00A03E75">
        <w:tc>
          <w:tcPr>
            <w:tcW w:w="3060" w:type="dxa"/>
          </w:tcPr>
          <w:p w14:paraId="1ABC543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Inventory </w:t>
            </w:r>
          </w:p>
        </w:tc>
        <w:tc>
          <w:tcPr>
            <w:tcW w:w="1530" w:type="dxa"/>
          </w:tcPr>
          <w:p w14:paraId="45F8764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$ 400,000</w:t>
            </w:r>
          </w:p>
        </w:tc>
        <w:tc>
          <w:tcPr>
            <w:tcW w:w="1620" w:type="dxa"/>
          </w:tcPr>
          <w:p w14:paraId="67DF9FD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$ 425,000</w:t>
            </w:r>
          </w:p>
        </w:tc>
        <w:tc>
          <w:tcPr>
            <w:tcW w:w="1530" w:type="dxa"/>
          </w:tcPr>
          <w:p w14:paraId="090417E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$ 430,000</w:t>
            </w:r>
          </w:p>
        </w:tc>
        <w:tc>
          <w:tcPr>
            <w:tcW w:w="1620" w:type="dxa"/>
          </w:tcPr>
          <w:p w14:paraId="7D16E5F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$ 450,000</w:t>
            </w:r>
          </w:p>
        </w:tc>
        <w:tc>
          <w:tcPr>
            <w:tcW w:w="1620" w:type="dxa"/>
          </w:tcPr>
          <w:p w14:paraId="7281332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$ 480,000</w:t>
            </w:r>
          </w:p>
        </w:tc>
      </w:tr>
      <w:tr w:rsidR="003213AD" w14:paraId="5C0A97AD" w14:textId="77777777" w:rsidTr="00A03E75">
        <w:tc>
          <w:tcPr>
            <w:tcW w:w="3060" w:type="dxa"/>
          </w:tcPr>
          <w:p w14:paraId="7415821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Other current Assets </w:t>
            </w:r>
          </w:p>
        </w:tc>
        <w:tc>
          <w:tcPr>
            <w:tcW w:w="1530" w:type="dxa"/>
          </w:tcPr>
          <w:p w14:paraId="782CC12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c>
          <w:tcPr>
            <w:tcW w:w="1620" w:type="dxa"/>
          </w:tcPr>
          <w:p w14:paraId="67FB383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$ 320,000</w:t>
            </w:r>
          </w:p>
        </w:tc>
        <w:tc>
          <w:tcPr>
            <w:tcW w:w="1530" w:type="dxa"/>
          </w:tcPr>
          <w:p w14:paraId="2BA81BE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$ 330,000</w:t>
            </w:r>
          </w:p>
        </w:tc>
        <w:tc>
          <w:tcPr>
            <w:tcW w:w="1620" w:type="dxa"/>
          </w:tcPr>
          <w:p w14:paraId="6B432DC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$ 350,000</w:t>
            </w:r>
          </w:p>
        </w:tc>
        <w:tc>
          <w:tcPr>
            <w:tcW w:w="1620" w:type="dxa"/>
          </w:tcPr>
          <w:p w14:paraId="0B411D3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$ 380,000</w:t>
            </w:r>
          </w:p>
        </w:tc>
      </w:tr>
      <w:tr w:rsidR="003213AD" w14:paraId="7A90646B" w14:textId="77777777" w:rsidTr="00A03E75">
        <w:tc>
          <w:tcPr>
            <w:tcW w:w="3060" w:type="dxa"/>
          </w:tcPr>
          <w:p w14:paraId="1D69B9B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Current Assets </w:t>
            </w:r>
          </w:p>
        </w:tc>
        <w:tc>
          <w:tcPr>
            <w:tcW w:w="1530" w:type="dxa"/>
          </w:tcPr>
          <w:p w14:paraId="7C07651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$ 1,000,000</w:t>
            </w:r>
          </w:p>
        </w:tc>
        <w:tc>
          <w:tcPr>
            <w:tcW w:w="1620" w:type="dxa"/>
          </w:tcPr>
          <w:p w14:paraId="42BE36F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1,200,000</w:t>
            </w:r>
          </w:p>
        </w:tc>
        <w:tc>
          <w:tcPr>
            <w:tcW w:w="1530" w:type="dxa"/>
          </w:tcPr>
          <w:p w14:paraId="164F754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 300,000</w:t>
            </w:r>
          </w:p>
        </w:tc>
        <w:tc>
          <w:tcPr>
            <w:tcW w:w="1620" w:type="dxa"/>
          </w:tcPr>
          <w:p w14:paraId="0152EC9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 </w:t>
            </w:r>
            <w:r w:rsidRPr="00FE3138">
              <w:rPr>
                <w:rFonts w:ascii="Times New Roman" w:eastAsia="Times New Roman" w:hAnsi="Times New Roman" w:cs="Times New Roman"/>
                <w:color w:val="000000" w:themeColor="text1"/>
                <w:sz w:val="24"/>
                <w:szCs w:val="24"/>
              </w:rPr>
              <w:t>1,500,000</w:t>
            </w:r>
          </w:p>
        </w:tc>
        <w:tc>
          <w:tcPr>
            <w:tcW w:w="1620" w:type="dxa"/>
          </w:tcPr>
          <w:p w14:paraId="654A9DB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$1,700,000</w:t>
            </w:r>
          </w:p>
        </w:tc>
      </w:tr>
      <w:tr w:rsidR="003213AD" w14:paraId="530C9CBA" w14:textId="77777777" w:rsidTr="00A03E75">
        <w:tc>
          <w:tcPr>
            <w:tcW w:w="3060" w:type="dxa"/>
          </w:tcPr>
          <w:p w14:paraId="10694F5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Long term assets </w:t>
            </w:r>
          </w:p>
        </w:tc>
        <w:tc>
          <w:tcPr>
            <w:tcW w:w="1530" w:type="dxa"/>
          </w:tcPr>
          <w:p w14:paraId="33166B3E"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7E1CF5CC"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530" w:type="dxa"/>
          </w:tcPr>
          <w:p w14:paraId="380E8FDE"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21B1FBC3"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44141F96"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r>
      <w:tr w:rsidR="003213AD" w14:paraId="5EDADEBB" w14:textId="77777777" w:rsidTr="00A03E75">
        <w:tc>
          <w:tcPr>
            <w:tcW w:w="3060" w:type="dxa"/>
          </w:tcPr>
          <w:p w14:paraId="25E5603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Long term assets</w:t>
            </w:r>
          </w:p>
        </w:tc>
        <w:tc>
          <w:tcPr>
            <w:tcW w:w="1530" w:type="dxa"/>
          </w:tcPr>
          <w:p w14:paraId="6BA9E7B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$ 600,000</w:t>
            </w:r>
          </w:p>
        </w:tc>
        <w:tc>
          <w:tcPr>
            <w:tcW w:w="1620" w:type="dxa"/>
          </w:tcPr>
          <w:p w14:paraId="702C26D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$ 750,000</w:t>
            </w:r>
          </w:p>
        </w:tc>
        <w:tc>
          <w:tcPr>
            <w:tcW w:w="1530" w:type="dxa"/>
          </w:tcPr>
          <w:p w14:paraId="68DBA0A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$ 800,000</w:t>
            </w:r>
          </w:p>
        </w:tc>
        <w:tc>
          <w:tcPr>
            <w:tcW w:w="1620" w:type="dxa"/>
          </w:tcPr>
          <w:p w14:paraId="4CAF4C0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$ 900,000</w:t>
            </w:r>
          </w:p>
        </w:tc>
        <w:tc>
          <w:tcPr>
            <w:tcW w:w="1620" w:type="dxa"/>
          </w:tcPr>
          <w:p w14:paraId="7C04CA8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$ 960,000</w:t>
            </w:r>
          </w:p>
        </w:tc>
      </w:tr>
      <w:tr w:rsidR="003213AD" w14:paraId="0D7EA386" w14:textId="77777777" w:rsidTr="00A03E75">
        <w:tc>
          <w:tcPr>
            <w:tcW w:w="3060" w:type="dxa"/>
          </w:tcPr>
          <w:p w14:paraId="0D9F9A9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Accumulated Depreciation </w:t>
            </w:r>
          </w:p>
        </w:tc>
        <w:tc>
          <w:tcPr>
            <w:tcW w:w="1530" w:type="dxa"/>
          </w:tcPr>
          <w:p w14:paraId="3EFAEAA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w:t>
            </w:r>
          </w:p>
        </w:tc>
        <w:tc>
          <w:tcPr>
            <w:tcW w:w="1620" w:type="dxa"/>
          </w:tcPr>
          <w:p w14:paraId="3B08C0F1"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$ 220,000</w:t>
            </w:r>
          </w:p>
        </w:tc>
        <w:tc>
          <w:tcPr>
            <w:tcW w:w="1530" w:type="dxa"/>
          </w:tcPr>
          <w:p w14:paraId="59DEA0D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$ 250,00</w:t>
            </w:r>
          </w:p>
        </w:tc>
        <w:tc>
          <w:tcPr>
            <w:tcW w:w="1620" w:type="dxa"/>
          </w:tcPr>
          <w:p w14:paraId="4CCD0FE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c>
          <w:tcPr>
            <w:tcW w:w="1620" w:type="dxa"/>
          </w:tcPr>
          <w:p w14:paraId="71E8DD4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$ 350,000</w:t>
            </w:r>
          </w:p>
        </w:tc>
      </w:tr>
      <w:tr w:rsidR="003213AD" w14:paraId="64286807" w14:textId="77777777" w:rsidTr="00A03E75">
        <w:tc>
          <w:tcPr>
            <w:tcW w:w="3060" w:type="dxa"/>
          </w:tcPr>
          <w:p w14:paraId="4E54095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lastRenderedPageBreak/>
              <w:t>Total long-term assets</w:t>
            </w:r>
          </w:p>
        </w:tc>
        <w:tc>
          <w:tcPr>
            <w:tcW w:w="1530" w:type="dxa"/>
          </w:tcPr>
          <w:p w14:paraId="08F7619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$ 400,000</w:t>
            </w:r>
          </w:p>
        </w:tc>
        <w:tc>
          <w:tcPr>
            <w:tcW w:w="1620" w:type="dxa"/>
          </w:tcPr>
          <w:p w14:paraId="1568AC6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$ 530,000</w:t>
            </w:r>
          </w:p>
        </w:tc>
        <w:tc>
          <w:tcPr>
            <w:tcW w:w="1530" w:type="dxa"/>
          </w:tcPr>
          <w:p w14:paraId="6BAB12F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$ 550,000</w:t>
            </w:r>
          </w:p>
        </w:tc>
        <w:tc>
          <w:tcPr>
            <w:tcW w:w="1620" w:type="dxa"/>
          </w:tcPr>
          <w:p w14:paraId="1D03208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$ 600,000</w:t>
            </w:r>
          </w:p>
        </w:tc>
        <w:tc>
          <w:tcPr>
            <w:tcW w:w="1620" w:type="dxa"/>
          </w:tcPr>
          <w:p w14:paraId="1C04186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 </w:t>
            </w:r>
            <w:r w:rsidRPr="00FE3138">
              <w:rPr>
                <w:rFonts w:ascii="Times New Roman" w:eastAsia="Times New Roman" w:hAnsi="Times New Roman" w:cs="Times New Roman"/>
                <w:color w:val="000000" w:themeColor="text1"/>
                <w:sz w:val="24"/>
                <w:szCs w:val="24"/>
              </w:rPr>
              <w:t>610,000</w:t>
            </w:r>
          </w:p>
        </w:tc>
      </w:tr>
      <w:tr w:rsidR="003213AD" w14:paraId="4F7B2A05" w14:textId="77777777" w:rsidTr="00A03E75">
        <w:tc>
          <w:tcPr>
            <w:tcW w:w="3060" w:type="dxa"/>
          </w:tcPr>
          <w:p w14:paraId="7D2BBB1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Assets </w:t>
            </w:r>
          </w:p>
        </w:tc>
        <w:tc>
          <w:tcPr>
            <w:tcW w:w="1530" w:type="dxa"/>
          </w:tcPr>
          <w:p w14:paraId="11B6614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$ 1,400,000</w:t>
            </w:r>
          </w:p>
        </w:tc>
        <w:tc>
          <w:tcPr>
            <w:tcW w:w="1620" w:type="dxa"/>
          </w:tcPr>
          <w:p w14:paraId="1CBF233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$ 1,730,000</w:t>
            </w:r>
          </w:p>
        </w:tc>
        <w:tc>
          <w:tcPr>
            <w:tcW w:w="1530" w:type="dxa"/>
          </w:tcPr>
          <w:p w14:paraId="6BB775F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$ 1,850,000</w:t>
            </w:r>
          </w:p>
        </w:tc>
        <w:tc>
          <w:tcPr>
            <w:tcW w:w="1620" w:type="dxa"/>
          </w:tcPr>
          <w:p w14:paraId="78361F6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$ 2,100,000</w:t>
            </w:r>
          </w:p>
        </w:tc>
        <w:tc>
          <w:tcPr>
            <w:tcW w:w="1620" w:type="dxa"/>
          </w:tcPr>
          <w:p w14:paraId="4F60CBE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$ 2,310,000</w:t>
            </w:r>
          </w:p>
        </w:tc>
      </w:tr>
      <w:tr w:rsidR="003213AD" w14:paraId="7F88B464" w14:textId="77777777" w:rsidTr="00A03E75">
        <w:tc>
          <w:tcPr>
            <w:tcW w:w="3060" w:type="dxa"/>
          </w:tcPr>
          <w:p w14:paraId="4307D82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Account Liabilities </w:t>
            </w:r>
          </w:p>
        </w:tc>
        <w:tc>
          <w:tcPr>
            <w:tcW w:w="1530" w:type="dxa"/>
          </w:tcPr>
          <w:p w14:paraId="1EFB73C9"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2F959AEC"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530" w:type="dxa"/>
          </w:tcPr>
          <w:p w14:paraId="19650C5B"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5497B083"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5A5B66EF"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r>
      <w:tr w:rsidR="003213AD" w14:paraId="220C8BA5" w14:textId="77777777" w:rsidTr="00A03E75">
        <w:tc>
          <w:tcPr>
            <w:tcW w:w="3060" w:type="dxa"/>
          </w:tcPr>
          <w:p w14:paraId="3A7D4AC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Account payable </w:t>
            </w:r>
          </w:p>
        </w:tc>
        <w:tc>
          <w:tcPr>
            <w:tcW w:w="1530" w:type="dxa"/>
          </w:tcPr>
          <w:p w14:paraId="73AB78A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$ 160,000</w:t>
            </w:r>
          </w:p>
        </w:tc>
        <w:tc>
          <w:tcPr>
            <w:tcW w:w="1620" w:type="dxa"/>
          </w:tcPr>
          <w:p w14:paraId="1440AB3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$ 180,000</w:t>
            </w:r>
          </w:p>
        </w:tc>
        <w:tc>
          <w:tcPr>
            <w:tcW w:w="1530" w:type="dxa"/>
          </w:tcPr>
          <w:p w14:paraId="0FF5ED5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w:t>
            </w:r>
          </w:p>
        </w:tc>
        <w:tc>
          <w:tcPr>
            <w:tcW w:w="1620" w:type="dxa"/>
          </w:tcPr>
          <w:p w14:paraId="689F2CE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$ 250,000</w:t>
            </w:r>
          </w:p>
        </w:tc>
        <w:tc>
          <w:tcPr>
            <w:tcW w:w="1620" w:type="dxa"/>
          </w:tcPr>
          <w:p w14:paraId="3D8B3F6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r>
      <w:tr w:rsidR="003213AD" w14:paraId="5A8B0FEE" w14:textId="77777777" w:rsidTr="00A03E75">
        <w:tc>
          <w:tcPr>
            <w:tcW w:w="3060" w:type="dxa"/>
          </w:tcPr>
          <w:p w14:paraId="5655ED0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Current borrowing</w:t>
            </w:r>
          </w:p>
        </w:tc>
        <w:tc>
          <w:tcPr>
            <w:tcW w:w="1530" w:type="dxa"/>
          </w:tcPr>
          <w:p w14:paraId="3972958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w:t>
            </w:r>
          </w:p>
        </w:tc>
        <w:tc>
          <w:tcPr>
            <w:tcW w:w="1620" w:type="dxa"/>
          </w:tcPr>
          <w:p w14:paraId="7BDE7B0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$ 220,000</w:t>
            </w:r>
          </w:p>
        </w:tc>
        <w:tc>
          <w:tcPr>
            <w:tcW w:w="1530" w:type="dxa"/>
          </w:tcPr>
          <w:p w14:paraId="2121F35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$ 250,000</w:t>
            </w:r>
          </w:p>
        </w:tc>
        <w:tc>
          <w:tcPr>
            <w:tcW w:w="1620" w:type="dxa"/>
          </w:tcPr>
          <w:p w14:paraId="2E801A0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$300,000</w:t>
            </w:r>
          </w:p>
        </w:tc>
        <w:tc>
          <w:tcPr>
            <w:tcW w:w="1620" w:type="dxa"/>
          </w:tcPr>
          <w:p w14:paraId="03727F5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$ 320,000</w:t>
            </w:r>
          </w:p>
        </w:tc>
      </w:tr>
      <w:tr w:rsidR="003213AD" w14:paraId="50F58DBF" w14:textId="77777777" w:rsidTr="00A03E75">
        <w:tc>
          <w:tcPr>
            <w:tcW w:w="3060" w:type="dxa"/>
          </w:tcPr>
          <w:p w14:paraId="23EEFE9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Other </w:t>
            </w:r>
            <w:r w:rsidRPr="00FE3138">
              <w:rPr>
                <w:rFonts w:ascii="Times New Roman" w:eastAsia="Times New Roman" w:hAnsi="Times New Roman" w:cs="Times New Roman"/>
                <w:color w:val="000000" w:themeColor="text1"/>
                <w:sz w:val="24"/>
                <w:szCs w:val="24"/>
              </w:rPr>
              <w:t>current liabilities (interest free)</w:t>
            </w:r>
          </w:p>
        </w:tc>
        <w:tc>
          <w:tcPr>
            <w:tcW w:w="1530" w:type="dxa"/>
          </w:tcPr>
          <w:p w14:paraId="22A8EA1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$ 90,000</w:t>
            </w:r>
          </w:p>
        </w:tc>
        <w:tc>
          <w:tcPr>
            <w:tcW w:w="1620" w:type="dxa"/>
          </w:tcPr>
          <w:p w14:paraId="4529B0B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530" w:type="dxa"/>
          </w:tcPr>
          <w:p w14:paraId="6B6D9BC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$ 150,000</w:t>
            </w:r>
          </w:p>
        </w:tc>
        <w:tc>
          <w:tcPr>
            <w:tcW w:w="1620" w:type="dxa"/>
          </w:tcPr>
          <w:p w14:paraId="66FDCA5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$ 180,000</w:t>
            </w:r>
          </w:p>
        </w:tc>
        <w:tc>
          <w:tcPr>
            <w:tcW w:w="1620" w:type="dxa"/>
          </w:tcPr>
          <w:p w14:paraId="3148CD3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$ 160,000</w:t>
            </w:r>
          </w:p>
        </w:tc>
      </w:tr>
      <w:tr w:rsidR="003213AD" w14:paraId="27CFFE91" w14:textId="77777777" w:rsidTr="00A03E75">
        <w:tc>
          <w:tcPr>
            <w:tcW w:w="3060" w:type="dxa"/>
          </w:tcPr>
          <w:p w14:paraId="774BBF4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current liabilities </w:t>
            </w:r>
          </w:p>
        </w:tc>
        <w:tc>
          <w:tcPr>
            <w:tcW w:w="1530" w:type="dxa"/>
          </w:tcPr>
          <w:p w14:paraId="2FF5563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$ 455,000</w:t>
            </w:r>
          </w:p>
        </w:tc>
        <w:tc>
          <w:tcPr>
            <w:tcW w:w="1620" w:type="dxa"/>
          </w:tcPr>
          <w:p w14:paraId="71FA476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$ 500,000</w:t>
            </w:r>
          </w:p>
        </w:tc>
        <w:tc>
          <w:tcPr>
            <w:tcW w:w="1530" w:type="dxa"/>
          </w:tcPr>
          <w:p w14:paraId="29918A0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$ 600,000</w:t>
            </w:r>
          </w:p>
        </w:tc>
        <w:tc>
          <w:tcPr>
            <w:tcW w:w="1620" w:type="dxa"/>
          </w:tcPr>
          <w:p w14:paraId="4F68886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$ 730,000</w:t>
            </w:r>
          </w:p>
        </w:tc>
        <w:tc>
          <w:tcPr>
            <w:tcW w:w="1620" w:type="dxa"/>
          </w:tcPr>
          <w:p w14:paraId="7845C62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$ 780,000</w:t>
            </w:r>
          </w:p>
        </w:tc>
      </w:tr>
      <w:tr w:rsidR="003213AD" w14:paraId="7746DAC5" w14:textId="77777777" w:rsidTr="00A03E75">
        <w:tc>
          <w:tcPr>
            <w:tcW w:w="3060" w:type="dxa"/>
          </w:tcPr>
          <w:p w14:paraId="7165DB4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Long term liabilities </w:t>
            </w:r>
          </w:p>
        </w:tc>
        <w:tc>
          <w:tcPr>
            <w:tcW w:w="1530" w:type="dxa"/>
          </w:tcPr>
          <w:p w14:paraId="6B998A5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$ 250,000</w:t>
            </w:r>
          </w:p>
        </w:tc>
        <w:tc>
          <w:tcPr>
            <w:tcW w:w="1620" w:type="dxa"/>
          </w:tcPr>
          <w:p w14:paraId="7C5CB56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c>
          <w:tcPr>
            <w:tcW w:w="1530" w:type="dxa"/>
          </w:tcPr>
          <w:p w14:paraId="0BA8C24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$ 350,000</w:t>
            </w:r>
          </w:p>
        </w:tc>
        <w:tc>
          <w:tcPr>
            <w:tcW w:w="1620" w:type="dxa"/>
          </w:tcPr>
          <w:p w14:paraId="64321A1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$ 310,000</w:t>
            </w:r>
          </w:p>
        </w:tc>
        <w:tc>
          <w:tcPr>
            <w:tcW w:w="1620" w:type="dxa"/>
          </w:tcPr>
          <w:p w14:paraId="7120180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$ 340,000</w:t>
            </w:r>
          </w:p>
        </w:tc>
      </w:tr>
      <w:tr w:rsidR="003213AD" w14:paraId="6E11B3E5" w14:textId="77777777" w:rsidTr="00A03E75">
        <w:tc>
          <w:tcPr>
            <w:tcW w:w="3060" w:type="dxa"/>
          </w:tcPr>
          <w:p w14:paraId="7443BF1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liabilities </w:t>
            </w:r>
          </w:p>
        </w:tc>
        <w:tc>
          <w:tcPr>
            <w:tcW w:w="1530" w:type="dxa"/>
          </w:tcPr>
          <w:p w14:paraId="660785A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$ 700,000</w:t>
            </w:r>
          </w:p>
        </w:tc>
        <w:tc>
          <w:tcPr>
            <w:tcW w:w="1620" w:type="dxa"/>
          </w:tcPr>
          <w:p w14:paraId="499EB0C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$ 800,000</w:t>
            </w:r>
          </w:p>
        </w:tc>
        <w:tc>
          <w:tcPr>
            <w:tcW w:w="1530" w:type="dxa"/>
          </w:tcPr>
          <w:p w14:paraId="67F0B81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$ 950,000</w:t>
            </w:r>
          </w:p>
        </w:tc>
        <w:tc>
          <w:tcPr>
            <w:tcW w:w="1620" w:type="dxa"/>
          </w:tcPr>
          <w:p w14:paraId="18D2C5C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$ 1,040,000</w:t>
            </w:r>
          </w:p>
        </w:tc>
        <w:tc>
          <w:tcPr>
            <w:tcW w:w="1620" w:type="dxa"/>
          </w:tcPr>
          <w:p w14:paraId="68FA86C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$ 1,120,000</w:t>
            </w:r>
          </w:p>
        </w:tc>
      </w:tr>
      <w:tr w:rsidR="003213AD" w14:paraId="02886114" w14:textId="77777777" w:rsidTr="00A03E75">
        <w:tc>
          <w:tcPr>
            <w:tcW w:w="3060" w:type="dxa"/>
          </w:tcPr>
          <w:p w14:paraId="382F411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Paid in capital </w:t>
            </w:r>
          </w:p>
        </w:tc>
        <w:tc>
          <w:tcPr>
            <w:tcW w:w="1530" w:type="dxa"/>
          </w:tcPr>
          <w:p w14:paraId="07E0F49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620" w:type="dxa"/>
          </w:tcPr>
          <w:p w14:paraId="5C13E12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530" w:type="dxa"/>
          </w:tcPr>
          <w:p w14:paraId="01B26E8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620" w:type="dxa"/>
          </w:tcPr>
          <w:p w14:paraId="35467866"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c>
          <w:tcPr>
            <w:tcW w:w="1620" w:type="dxa"/>
          </w:tcPr>
          <w:p w14:paraId="6B85AE9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w:t>
            </w:r>
          </w:p>
        </w:tc>
      </w:tr>
      <w:tr w:rsidR="003213AD" w14:paraId="6DB3B56D" w14:textId="77777777" w:rsidTr="00A03E75">
        <w:tc>
          <w:tcPr>
            <w:tcW w:w="3060" w:type="dxa"/>
          </w:tcPr>
          <w:p w14:paraId="4500FDF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Retained earning </w:t>
            </w:r>
          </w:p>
        </w:tc>
        <w:tc>
          <w:tcPr>
            <w:tcW w:w="1530" w:type="dxa"/>
          </w:tcPr>
          <w:p w14:paraId="521C452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c>
          <w:tcPr>
            <w:tcW w:w="1620" w:type="dxa"/>
          </w:tcPr>
          <w:p w14:paraId="2194BD4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$ 320,000</w:t>
            </w:r>
          </w:p>
        </w:tc>
        <w:tc>
          <w:tcPr>
            <w:tcW w:w="1530" w:type="dxa"/>
          </w:tcPr>
          <w:p w14:paraId="622E592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$ 350,000</w:t>
            </w:r>
          </w:p>
        </w:tc>
        <w:tc>
          <w:tcPr>
            <w:tcW w:w="1620" w:type="dxa"/>
          </w:tcPr>
          <w:p w14:paraId="271E4F5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$ 380,000</w:t>
            </w:r>
          </w:p>
        </w:tc>
        <w:tc>
          <w:tcPr>
            <w:tcW w:w="1620" w:type="dxa"/>
          </w:tcPr>
          <w:p w14:paraId="50D7466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400,000</w:t>
            </w:r>
          </w:p>
        </w:tc>
      </w:tr>
      <w:tr w:rsidR="003213AD" w14:paraId="1A4CCC17" w14:textId="77777777" w:rsidTr="00A03E75">
        <w:tc>
          <w:tcPr>
            <w:tcW w:w="3060" w:type="dxa"/>
          </w:tcPr>
          <w:p w14:paraId="22440DA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Earnings </w:t>
            </w:r>
          </w:p>
        </w:tc>
        <w:tc>
          <w:tcPr>
            <w:tcW w:w="1530" w:type="dxa"/>
          </w:tcPr>
          <w:p w14:paraId="27CCD80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w:t>
            </w:r>
          </w:p>
        </w:tc>
        <w:tc>
          <w:tcPr>
            <w:tcW w:w="1620" w:type="dxa"/>
          </w:tcPr>
          <w:p w14:paraId="7887360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$ 510,000</w:t>
            </w:r>
          </w:p>
        </w:tc>
        <w:tc>
          <w:tcPr>
            <w:tcW w:w="1530" w:type="dxa"/>
          </w:tcPr>
          <w:p w14:paraId="763106C1"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$ 450,000</w:t>
            </w:r>
          </w:p>
        </w:tc>
        <w:tc>
          <w:tcPr>
            <w:tcW w:w="1620" w:type="dxa"/>
          </w:tcPr>
          <w:p w14:paraId="51DD145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$ 580,000</w:t>
            </w:r>
          </w:p>
        </w:tc>
        <w:tc>
          <w:tcPr>
            <w:tcW w:w="1620" w:type="dxa"/>
          </w:tcPr>
          <w:p w14:paraId="2961718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$ 690,000</w:t>
            </w:r>
          </w:p>
        </w:tc>
      </w:tr>
      <w:tr w:rsidR="003213AD" w14:paraId="399C45FE" w14:textId="77777777" w:rsidTr="00A03E75">
        <w:tc>
          <w:tcPr>
            <w:tcW w:w="3060" w:type="dxa"/>
          </w:tcPr>
          <w:p w14:paraId="0F3E60D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capital </w:t>
            </w:r>
          </w:p>
        </w:tc>
        <w:tc>
          <w:tcPr>
            <w:tcW w:w="1530" w:type="dxa"/>
          </w:tcPr>
          <w:p w14:paraId="6716648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$700,000</w:t>
            </w:r>
          </w:p>
        </w:tc>
        <w:tc>
          <w:tcPr>
            <w:tcW w:w="1620" w:type="dxa"/>
          </w:tcPr>
          <w:p w14:paraId="611ABCD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$ 930, 000</w:t>
            </w:r>
          </w:p>
        </w:tc>
        <w:tc>
          <w:tcPr>
            <w:tcW w:w="1530" w:type="dxa"/>
          </w:tcPr>
          <w:p w14:paraId="59CBA0B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$ 900,000</w:t>
            </w:r>
          </w:p>
        </w:tc>
        <w:tc>
          <w:tcPr>
            <w:tcW w:w="1620" w:type="dxa"/>
          </w:tcPr>
          <w:p w14:paraId="73E10B5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$ 1,060,000</w:t>
            </w:r>
          </w:p>
        </w:tc>
        <w:tc>
          <w:tcPr>
            <w:tcW w:w="1620" w:type="dxa"/>
          </w:tcPr>
          <w:p w14:paraId="1B7D867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$ 1,190,000</w:t>
            </w:r>
          </w:p>
        </w:tc>
      </w:tr>
      <w:tr w:rsidR="003213AD" w14:paraId="70A6114E" w14:textId="77777777" w:rsidTr="00A03E75">
        <w:tc>
          <w:tcPr>
            <w:tcW w:w="3060" w:type="dxa"/>
          </w:tcPr>
          <w:p w14:paraId="3B35F50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Total capital + liabilities </w:t>
            </w:r>
          </w:p>
        </w:tc>
        <w:tc>
          <w:tcPr>
            <w:tcW w:w="1530" w:type="dxa"/>
          </w:tcPr>
          <w:p w14:paraId="200683A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$ 1,400,000</w:t>
            </w:r>
          </w:p>
        </w:tc>
        <w:tc>
          <w:tcPr>
            <w:tcW w:w="1620" w:type="dxa"/>
          </w:tcPr>
          <w:p w14:paraId="34F69E8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$ 1,730,000</w:t>
            </w:r>
          </w:p>
        </w:tc>
        <w:tc>
          <w:tcPr>
            <w:tcW w:w="1530" w:type="dxa"/>
          </w:tcPr>
          <w:p w14:paraId="742B6AB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$ 1,850,000</w:t>
            </w:r>
          </w:p>
        </w:tc>
        <w:tc>
          <w:tcPr>
            <w:tcW w:w="1620" w:type="dxa"/>
          </w:tcPr>
          <w:p w14:paraId="40AAD77C"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$ 2,100,000</w:t>
            </w:r>
          </w:p>
        </w:tc>
        <w:tc>
          <w:tcPr>
            <w:tcW w:w="1620" w:type="dxa"/>
          </w:tcPr>
          <w:p w14:paraId="75198F9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$ 2,310,000</w:t>
            </w:r>
          </w:p>
        </w:tc>
      </w:tr>
    </w:tbl>
    <w:p w14:paraId="2DF2D6F2" w14:textId="77777777" w:rsidR="005376E2" w:rsidRPr="00FE3138" w:rsidRDefault="00044E59" w:rsidP="003D6939">
      <w:pPr>
        <w:spacing w:line="480" w:lineRule="auto"/>
        <w:rPr>
          <w:rFonts w:ascii="Times New Roman" w:hAnsi="Times New Roman" w:cs="Times New Roman"/>
          <w:color w:val="000000" w:themeColor="text1"/>
          <w:sz w:val="24"/>
          <w:szCs w:val="24"/>
        </w:rPr>
      </w:pPr>
      <w:r w:rsidRPr="00FE3138">
        <w:rPr>
          <w:rFonts w:ascii="Times New Roman" w:hAnsi="Times New Roman" w:cs="Times New Roman"/>
          <w:color w:val="000000" w:themeColor="text1"/>
          <w:sz w:val="24"/>
          <w:szCs w:val="24"/>
        </w:rPr>
        <w:t>Financial Ratio</w:t>
      </w:r>
    </w:p>
    <w:tbl>
      <w:tblPr>
        <w:tblStyle w:val="TableGrid"/>
        <w:tblW w:w="11576" w:type="dxa"/>
        <w:tblInd w:w="-882" w:type="dxa"/>
        <w:tblLayout w:type="fixed"/>
        <w:tblLook w:val="04A0" w:firstRow="1" w:lastRow="0" w:firstColumn="1" w:lastColumn="0" w:noHBand="0" w:noVBand="1"/>
      </w:tblPr>
      <w:tblGrid>
        <w:gridCol w:w="2700"/>
        <w:gridCol w:w="2070"/>
        <w:gridCol w:w="1710"/>
        <w:gridCol w:w="1620"/>
        <w:gridCol w:w="1620"/>
        <w:gridCol w:w="1856"/>
      </w:tblGrid>
      <w:tr w:rsidR="003213AD" w14:paraId="1DEE1E86" w14:textId="77777777" w:rsidTr="00A03E75">
        <w:tc>
          <w:tcPr>
            <w:tcW w:w="2700" w:type="dxa"/>
          </w:tcPr>
          <w:p w14:paraId="582CD442"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Period Ending</w:t>
            </w:r>
          </w:p>
        </w:tc>
        <w:tc>
          <w:tcPr>
            <w:tcW w:w="2070" w:type="dxa"/>
          </w:tcPr>
          <w:p w14:paraId="4AD7D9B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2019</w:t>
            </w:r>
          </w:p>
        </w:tc>
        <w:tc>
          <w:tcPr>
            <w:tcW w:w="1710" w:type="dxa"/>
          </w:tcPr>
          <w:p w14:paraId="55C8375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2020</w:t>
            </w:r>
          </w:p>
        </w:tc>
        <w:tc>
          <w:tcPr>
            <w:tcW w:w="1620" w:type="dxa"/>
          </w:tcPr>
          <w:p w14:paraId="7CFFFA1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2021</w:t>
            </w:r>
          </w:p>
        </w:tc>
        <w:tc>
          <w:tcPr>
            <w:tcW w:w="1620" w:type="dxa"/>
          </w:tcPr>
          <w:p w14:paraId="032A3D5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2022</w:t>
            </w:r>
          </w:p>
        </w:tc>
        <w:tc>
          <w:tcPr>
            <w:tcW w:w="1856" w:type="dxa"/>
          </w:tcPr>
          <w:p w14:paraId="0681001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2023</w:t>
            </w:r>
          </w:p>
        </w:tc>
      </w:tr>
      <w:tr w:rsidR="003213AD" w14:paraId="5B791F2B" w14:textId="77777777" w:rsidTr="00A03E75">
        <w:tc>
          <w:tcPr>
            <w:tcW w:w="2700" w:type="dxa"/>
          </w:tcPr>
          <w:p w14:paraId="5315B7D0" w14:textId="77777777" w:rsidR="005376E2" w:rsidRPr="00FE3138" w:rsidRDefault="00044E59" w:rsidP="003D6939">
            <w:pPr>
              <w:spacing w:line="480" w:lineRule="auto"/>
              <w:textAlignment w:val="baseline"/>
              <w:outlineLvl w:val="1"/>
              <w:rPr>
                <w:rFonts w:ascii="Times New Roman" w:eastAsia="Times New Roman" w:hAnsi="Times New Roman" w:cs="Times New Roman"/>
                <w:b/>
                <w:color w:val="000000" w:themeColor="text1"/>
                <w:sz w:val="24"/>
                <w:szCs w:val="24"/>
              </w:rPr>
            </w:pPr>
            <w:r w:rsidRPr="00FE3138">
              <w:rPr>
                <w:rFonts w:ascii="Times New Roman" w:eastAsia="Times New Roman" w:hAnsi="Times New Roman" w:cs="Times New Roman"/>
                <w:b/>
                <w:color w:val="000000" w:themeColor="text1"/>
                <w:sz w:val="24"/>
                <w:szCs w:val="24"/>
              </w:rPr>
              <w:t>Liquidity Ratio</w:t>
            </w:r>
          </w:p>
        </w:tc>
        <w:tc>
          <w:tcPr>
            <w:tcW w:w="2070" w:type="dxa"/>
          </w:tcPr>
          <w:p w14:paraId="0339798D" w14:textId="77777777" w:rsidR="005376E2" w:rsidRPr="00FE3138" w:rsidRDefault="005376E2" w:rsidP="003D6939">
            <w:pPr>
              <w:spacing w:line="480" w:lineRule="auto"/>
              <w:textAlignment w:val="baseline"/>
              <w:outlineLvl w:val="1"/>
              <w:rPr>
                <w:rFonts w:ascii="Times New Roman" w:eastAsia="Times New Roman" w:hAnsi="Times New Roman" w:cs="Times New Roman"/>
                <w:color w:val="000000" w:themeColor="text1"/>
                <w:sz w:val="24"/>
                <w:szCs w:val="24"/>
              </w:rPr>
            </w:pPr>
          </w:p>
        </w:tc>
        <w:tc>
          <w:tcPr>
            <w:tcW w:w="1710" w:type="dxa"/>
          </w:tcPr>
          <w:p w14:paraId="4EF8BCE3" w14:textId="77777777" w:rsidR="005376E2" w:rsidRPr="00FE3138" w:rsidRDefault="005376E2" w:rsidP="003D6939">
            <w:pPr>
              <w:spacing w:line="480" w:lineRule="auto"/>
              <w:textAlignment w:val="baseline"/>
              <w:outlineLvl w:val="1"/>
              <w:rPr>
                <w:rFonts w:ascii="Times New Roman" w:eastAsia="Times New Roman" w:hAnsi="Times New Roman" w:cs="Times New Roman"/>
                <w:color w:val="000000" w:themeColor="text1"/>
                <w:sz w:val="24"/>
                <w:szCs w:val="24"/>
              </w:rPr>
            </w:pPr>
          </w:p>
        </w:tc>
        <w:tc>
          <w:tcPr>
            <w:tcW w:w="1620" w:type="dxa"/>
          </w:tcPr>
          <w:p w14:paraId="37731FD1" w14:textId="77777777" w:rsidR="005376E2" w:rsidRPr="00FE3138" w:rsidRDefault="005376E2" w:rsidP="003D6939">
            <w:pPr>
              <w:spacing w:line="480" w:lineRule="auto"/>
              <w:textAlignment w:val="baseline"/>
              <w:outlineLvl w:val="1"/>
              <w:rPr>
                <w:rFonts w:ascii="Times New Roman" w:eastAsia="Times New Roman" w:hAnsi="Times New Roman" w:cs="Times New Roman"/>
                <w:color w:val="000000" w:themeColor="text1"/>
                <w:sz w:val="24"/>
                <w:szCs w:val="24"/>
              </w:rPr>
            </w:pPr>
          </w:p>
        </w:tc>
        <w:tc>
          <w:tcPr>
            <w:tcW w:w="1620" w:type="dxa"/>
          </w:tcPr>
          <w:p w14:paraId="56986D1E" w14:textId="77777777" w:rsidR="005376E2" w:rsidRPr="00FE3138" w:rsidRDefault="005376E2" w:rsidP="003D6939">
            <w:pPr>
              <w:spacing w:line="480" w:lineRule="auto"/>
              <w:textAlignment w:val="baseline"/>
              <w:outlineLvl w:val="1"/>
              <w:rPr>
                <w:rFonts w:ascii="Times New Roman" w:eastAsia="Times New Roman" w:hAnsi="Times New Roman" w:cs="Times New Roman"/>
                <w:color w:val="000000" w:themeColor="text1"/>
                <w:sz w:val="24"/>
                <w:szCs w:val="24"/>
              </w:rPr>
            </w:pPr>
          </w:p>
        </w:tc>
        <w:tc>
          <w:tcPr>
            <w:tcW w:w="1856" w:type="dxa"/>
          </w:tcPr>
          <w:p w14:paraId="309EE9B9" w14:textId="77777777" w:rsidR="005376E2" w:rsidRPr="00FE3138" w:rsidRDefault="005376E2" w:rsidP="003D6939">
            <w:pPr>
              <w:spacing w:line="480" w:lineRule="auto"/>
              <w:textAlignment w:val="baseline"/>
              <w:outlineLvl w:val="1"/>
              <w:rPr>
                <w:rFonts w:ascii="Times New Roman" w:eastAsia="Times New Roman" w:hAnsi="Times New Roman" w:cs="Times New Roman"/>
                <w:color w:val="000000" w:themeColor="text1"/>
                <w:sz w:val="24"/>
                <w:szCs w:val="24"/>
              </w:rPr>
            </w:pPr>
          </w:p>
        </w:tc>
      </w:tr>
      <w:tr w:rsidR="003213AD" w14:paraId="6E0CA4B2" w14:textId="77777777" w:rsidTr="00A03E75">
        <w:tc>
          <w:tcPr>
            <w:tcW w:w="2700" w:type="dxa"/>
          </w:tcPr>
          <w:p w14:paraId="50ADA0F7"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Current Ratios = Current Assets/current liabilities </w:t>
            </w:r>
          </w:p>
        </w:tc>
        <w:tc>
          <w:tcPr>
            <w:tcW w:w="2070" w:type="dxa"/>
          </w:tcPr>
          <w:p w14:paraId="3005169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$ 1,000,000/$ 455,000 = 2.20</w:t>
            </w:r>
          </w:p>
          <w:p w14:paraId="4E40B084"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710" w:type="dxa"/>
          </w:tcPr>
          <w:p w14:paraId="22C095F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$1,200,000/$ 500,000= 2.40</w:t>
            </w:r>
          </w:p>
        </w:tc>
        <w:tc>
          <w:tcPr>
            <w:tcW w:w="1620" w:type="dxa"/>
          </w:tcPr>
          <w:p w14:paraId="5146E32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$ 1, 300,000/$ 600,000=2.20</w:t>
            </w:r>
          </w:p>
          <w:p w14:paraId="27860E24"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620" w:type="dxa"/>
          </w:tcPr>
          <w:p w14:paraId="5CD937E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$1,500,000/$ 730,000= 2.05</w:t>
            </w:r>
          </w:p>
        </w:tc>
        <w:tc>
          <w:tcPr>
            <w:tcW w:w="1856" w:type="dxa"/>
          </w:tcPr>
          <w:p w14:paraId="14431F18"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$1,700,000/$ 780,000 = 2.22</w:t>
            </w:r>
          </w:p>
        </w:tc>
      </w:tr>
      <w:tr w:rsidR="003213AD" w14:paraId="2D667D47" w14:textId="77777777" w:rsidTr="00A03E75">
        <w:tc>
          <w:tcPr>
            <w:tcW w:w="2700" w:type="dxa"/>
          </w:tcPr>
          <w:p w14:paraId="76173DB7"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lastRenderedPageBreak/>
              <w:t xml:space="preserve">Quick Ratios (cash + account receivable)/ (current </w:t>
            </w:r>
            <w:r w:rsidRPr="00FE3138">
              <w:rPr>
                <w:rFonts w:ascii="Times New Roman" w:eastAsia="Times New Roman" w:hAnsi="Times New Roman" w:cs="Times New Roman"/>
                <w:color w:val="000000" w:themeColor="text1"/>
                <w:sz w:val="24"/>
                <w:szCs w:val="24"/>
              </w:rPr>
              <w:t>liabilities)</w:t>
            </w:r>
          </w:p>
        </w:tc>
        <w:tc>
          <w:tcPr>
            <w:tcW w:w="2070" w:type="dxa"/>
          </w:tcPr>
          <w:p w14:paraId="74A79BD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($ 200,000 +$ 100,000)/ 455,000</w:t>
            </w:r>
          </w:p>
          <w:p w14:paraId="5D11E1B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0.6593</w:t>
            </w:r>
          </w:p>
        </w:tc>
        <w:tc>
          <w:tcPr>
            <w:tcW w:w="1710" w:type="dxa"/>
          </w:tcPr>
          <w:p w14:paraId="120D1142"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($ 225,000 +$ 230,000)/ 500,000 = 0.91</w:t>
            </w:r>
          </w:p>
        </w:tc>
        <w:tc>
          <w:tcPr>
            <w:tcW w:w="1620" w:type="dxa"/>
          </w:tcPr>
          <w:p w14:paraId="1A5BDA69"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($ 250, 000 + $ 290,000)/ 600,000=0.90</w:t>
            </w:r>
          </w:p>
        </w:tc>
        <w:tc>
          <w:tcPr>
            <w:tcW w:w="1620" w:type="dxa"/>
          </w:tcPr>
          <w:p w14:paraId="50D6A1E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($ 275,000 + 425,000)/730,000 = 0.9589</w:t>
            </w:r>
          </w:p>
        </w:tc>
        <w:tc>
          <w:tcPr>
            <w:tcW w:w="1856" w:type="dxa"/>
          </w:tcPr>
          <w:p w14:paraId="550EA1E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($ 300,000 + $ 540,000)/ 780,000 =0.9487</w:t>
            </w:r>
          </w:p>
        </w:tc>
      </w:tr>
      <w:tr w:rsidR="003213AD" w14:paraId="2CBEDBAC" w14:textId="77777777" w:rsidTr="00A03E75">
        <w:tc>
          <w:tcPr>
            <w:tcW w:w="2700" w:type="dxa"/>
          </w:tcPr>
          <w:p w14:paraId="4FE0DC84"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Cash Ratios</w:t>
            </w:r>
            <w:r w:rsidRPr="00FE3138">
              <w:rPr>
                <w:rFonts w:ascii="Times New Roman" w:eastAsia="Times New Roman" w:hAnsi="Times New Roman" w:cs="Times New Roman"/>
                <w:b/>
                <w:bCs/>
                <w:color w:val="000000" w:themeColor="text1"/>
                <w:sz w:val="24"/>
                <w:szCs w:val="24"/>
              </w:rPr>
              <w:t xml:space="preserve"> </w:t>
            </w:r>
            <w:r w:rsidRPr="00FE3138">
              <w:rPr>
                <w:rFonts w:ascii="Times New Roman" w:eastAsia="Times New Roman" w:hAnsi="Times New Roman" w:cs="Times New Roman"/>
                <w:bCs/>
                <w:color w:val="000000" w:themeColor="text1"/>
                <w:sz w:val="24"/>
                <w:szCs w:val="24"/>
              </w:rPr>
              <w:t>(</w:t>
            </w:r>
            <w:r w:rsidRPr="00FE3138">
              <w:rPr>
                <w:rFonts w:ascii="Times New Roman" w:eastAsia="Times New Roman" w:hAnsi="Times New Roman" w:cs="Times New Roman"/>
                <w:color w:val="000000" w:themeColor="text1"/>
                <w:sz w:val="24"/>
                <w:szCs w:val="24"/>
              </w:rPr>
              <w:t xml:space="preserve">cash +cash equivalent)/ </w:t>
            </w:r>
            <w:r w:rsidRPr="00FE3138">
              <w:rPr>
                <w:rFonts w:ascii="Times New Roman" w:eastAsia="Times New Roman" w:hAnsi="Times New Roman" w:cs="Times New Roman"/>
                <w:color w:val="000000" w:themeColor="text1"/>
                <w:sz w:val="24"/>
                <w:szCs w:val="24"/>
              </w:rPr>
              <w:t>(current liabilities)</w:t>
            </w:r>
          </w:p>
        </w:tc>
        <w:tc>
          <w:tcPr>
            <w:tcW w:w="2070" w:type="dxa"/>
          </w:tcPr>
          <w:p w14:paraId="007897F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200,000/455,000</w:t>
            </w:r>
          </w:p>
          <w:p w14:paraId="2D6B64D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=0.4397</w:t>
            </w:r>
          </w:p>
          <w:p w14:paraId="0C080165" w14:textId="77777777" w:rsidR="005376E2" w:rsidRPr="00FE3138" w:rsidRDefault="005376E2" w:rsidP="003D6939">
            <w:pPr>
              <w:spacing w:line="480" w:lineRule="auto"/>
              <w:rPr>
                <w:rFonts w:ascii="Times New Roman" w:eastAsia="Times New Roman" w:hAnsi="Times New Roman" w:cs="Times New Roman"/>
                <w:color w:val="000000" w:themeColor="text1"/>
                <w:sz w:val="24"/>
                <w:szCs w:val="24"/>
              </w:rPr>
            </w:pPr>
          </w:p>
        </w:tc>
        <w:tc>
          <w:tcPr>
            <w:tcW w:w="1710" w:type="dxa"/>
          </w:tcPr>
          <w:p w14:paraId="2A2A3FA5"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$ 225,000/$ 500,0000</w:t>
            </w:r>
          </w:p>
          <w:p w14:paraId="31D864C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=0.45</w:t>
            </w:r>
          </w:p>
        </w:tc>
        <w:tc>
          <w:tcPr>
            <w:tcW w:w="1620" w:type="dxa"/>
          </w:tcPr>
          <w:p w14:paraId="559E576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259,000/600,000 = 0.432</w:t>
            </w:r>
          </w:p>
        </w:tc>
        <w:tc>
          <w:tcPr>
            <w:tcW w:w="1620" w:type="dxa"/>
          </w:tcPr>
          <w:p w14:paraId="368CFD3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275,000/730,000 = 0.3767</w:t>
            </w:r>
          </w:p>
        </w:tc>
        <w:tc>
          <w:tcPr>
            <w:tcW w:w="1856" w:type="dxa"/>
          </w:tcPr>
          <w:p w14:paraId="59DA74C7"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300,000/780,000 = 0.3846</w:t>
            </w:r>
          </w:p>
        </w:tc>
      </w:tr>
      <w:tr w:rsidR="003213AD" w14:paraId="123FC45B" w14:textId="77777777" w:rsidTr="00A03E75">
        <w:tc>
          <w:tcPr>
            <w:tcW w:w="2700" w:type="dxa"/>
          </w:tcPr>
          <w:p w14:paraId="30FE261C" w14:textId="77777777" w:rsidR="005376E2" w:rsidRPr="00FE3138" w:rsidRDefault="00044E59" w:rsidP="003D6939">
            <w:pPr>
              <w:spacing w:line="480" w:lineRule="auto"/>
              <w:textAlignment w:val="baseline"/>
              <w:outlineLvl w:val="1"/>
              <w:rPr>
                <w:rFonts w:ascii="Times New Roman" w:eastAsia="Times New Roman" w:hAnsi="Times New Roman" w:cs="Times New Roman"/>
                <w:b/>
                <w:color w:val="000000" w:themeColor="text1"/>
                <w:sz w:val="24"/>
                <w:szCs w:val="24"/>
              </w:rPr>
            </w:pPr>
            <w:r w:rsidRPr="00FE3138">
              <w:rPr>
                <w:rFonts w:ascii="Times New Roman" w:eastAsia="Times New Roman" w:hAnsi="Times New Roman" w:cs="Times New Roman"/>
                <w:b/>
                <w:color w:val="000000" w:themeColor="text1"/>
                <w:sz w:val="24"/>
                <w:szCs w:val="24"/>
              </w:rPr>
              <w:t>Profitability Ratio</w:t>
            </w:r>
          </w:p>
        </w:tc>
        <w:tc>
          <w:tcPr>
            <w:tcW w:w="2070" w:type="dxa"/>
          </w:tcPr>
          <w:p w14:paraId="2108C4BC" w14:textId="77777777" w:rsidR="005376E2" w:rsidRPr="00FE3138" w:rsidRDefault="005376E2" w:rsidP="003D6939">
            <w:pPr>
              <w:spacing w:line="480" w:lineRule="auto"/>
              <w:textAlignment w:val="baseline"/>
              <w:outlineLvl w:val="1"/>
              <w:rPr>
                <w:rFonts w:ascii="Times New Roman" w:eastAsia="Times New Roman" w:hAnsi="Times New Roman" w:cs="Times New Roman"/>
                <w:b/>
                <w:color w:val="000000" w:themeColor="text1"/>
                <w:sz w:val="24"/>
                <w:szCs w:val="24"/>
              </w:rPr>
            </w:pPr>
          </w:p>
        </w:tc>
        <w:tc>
          <w:tcPr>
            <w:tcW w:w="1710" w:type="dxa"/>
          </w:tcPr>
          <w:p w14:paraId="68701B7D" w14:textId="77777777" w:rsidR="005376E2" w:rsidRPr="00FE3138" w:rsidRDefault="005376E2" w:rsidP="003D6939">
            <w:pPr>
              <w:spacing w:line="480" w:lineRule="auto"/>
              <w:textAlignment w:val="baseline"/>
              <w:outlineLvl w:val="1"/>
              <w:rPr>
                <w:rFonts w:ascii="Times New Roman" w:eastAsia="Times New Roman" w:hAnsi="Times New Roman" w:cs="Times New Roman"/>
                <w:b/>
                <w:color w:val="000000" w:themeColor="text1"/>
                <w:sz w:val="24"/>
                <w:szCs w:val="24"/>
              </w:rPr>
            </w:pPr>
          </w:p>
        </w:tc>
        <w:tc>
          <w:tcPr>
            <w:tcW w:w="1620" w:type="dxa"/>
          </w:tcPr>
          <w:p w14:paraId="2FDB7748" w14:textId="77777777" w:rsidR="005376E2" w:rsidRPr="00FE3138" w:rsidRDefault="005376E2" w:rsidP="003D6939">
            <w:pPr>
              <w:spacing w:line="480" w:lineRule="auto"/>
              <w:textAlignment w:val="baseline"/>
              <w:outlineLvl w:val="1"/>
              <w:rPr>
                <w:rFonts w:ascii="Times New Roman" w:eastAsia="Times New Roman" w:hAnsi="Times New Roman" w:cs="Times New Roman"/>
                <w:b/>
                <w:color w:val="000000" w:themeColor="text1"/>
                <w:sz w:val="24"/>
                <w:szCs w:val="24"/>
              </w:rPr>
            </w:pPr>
          </w:p>
        </w:tc>
        <w:tc>
          <w:tcPr>
            <w:tcW w:w="1620" w:type="dxa"/>
          </w:tcPr>
          <w:p w14:paraId="117BDC14" w14:textId="77777777" w:rsidR="005376E2" w:rsidRPr="00FE3138" w:rsidRDefault="005376E2" w:rsidP="003D6939">
            <w:pPr>
              <w:spacing w:line="480" w:lineRule="auto"/>
              <w:textAlignment w:val="baseline"/>
              <w:outlineLvl w:val="1"/>
              <w:rPr>
                <w:rFonts w:ascii="Times New Roman" w:eastAsia="Times New Roman" w:hAnsi="Times New Roman" w:cs="Times New Roman"/>
                <w:b/>
                <w:color w:val="000000" w:themeColor="text1"/>
                <w:sz w:val="24"/>
                <w:szCs w:val="24"/>
              </w:rPr>
            </w:pPr>
          </w:p>
        </w:tc>
        <w:tc>
          <w:tcPr>
            <w:tcW w:w="1856" w:type="dxa"/>
          </w:tcPr>
          <w:p w14:paraId="57B6935A" w14:textId="77777777" w:rsidR="005376E2" w:rsidRPr="00FE3138" w:rsidRDefault="005376E2" w:rsidP="003D6939">
            <w:pPr>
              <w:spacing w:line="480" w:lineRule="auto"/>
              <w:textAlignment w:val="baseline"/>
              <w:outlineLvl w:val="1"/>
              <w:rPr>
                <w:rFonts w:ascii="Times New Roman" w:eastAsia="Times New Roman" w:hAnsi="Times New Roman" w:cs="Times New Roman"/>
                <w:b/>
                <w:color w:val="000000" w:themeColor="text1"/>
                <w:sz w:val="24"/>
                <w:szCs w:val="24"/>
              </w:rPr>
            </w:pPr>
          </w:p>
        </w:tc>
      </w:tr>
      <w:tr w:rsidR="003213AD" w14:paraId="272B7515" w14:textId="77777777" w:rsidTr="00A03E75">
        <w:tc>
          <w:tcPr>
            <w:tcW w:w="2700" w:type="dxa"/>
          </w:tcPr>
          <w:p w14:paraId="335C96AC"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Gross Margins (Revenue- the cost of goods sold)/ revenue</w:t>
            </w:r>
          </w:p>
        </w:tc>
        <w:tc>
          <w:tcPr>
            <w:tcW w:w="2070" w:type="dxa"/>
          </w:tcPr>
          <w:p w14:paraId="020D267F"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50.00%</w:t>
            </w:r>
          </w:p>
        </w:tc>
        <w:tc>
          <w:tcPr>
            <w:tcW w:w="1710" w:type="dxa"/>
          </w:tcPr>
          <w:p w14:paraId="4D8A79BA"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52.38%</w:t>
            </w:r>
          </w:p>
        </w:tc>
        <w:tc>
          <w:tcPr>
            <w:tcW w:w="1620" w:type="dxa"/>
          </w:tcPr>
          <w:p w14:paraId="546CB92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53.48%</w:t>
            </w:r>
          </w:p>
        </w:tc>
        <w:tc>
          <w:tcPr>
            <w:tcW w:w="1620" w:type="dxa"/>
          </w:tcPr>
          <w:p w14:paraId="6A06E853"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54.55%</w:t>
            </w:r>
          </w:p>
        </w:tc>
        <w:tc>
          <w:tcPr>
            <w:tcW w:w="1856" w:type="dxa"/>
          </w:tcPr>
          <w:p w14:paraId="260BA0FB"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54.35%</w:t>
            </w:r>
          </w:p>
        </w:tc>
      </w:tr>
      <w:tr w:rsidR="003213AD" w14:paraId="2DADBCF0" w14:textId="77777777" w:rsidTr="00A03E75">
        <w:tc>
          <w:tcPr>
            <w:tcW w:w="2700" w:type="dxa"/>
          </w:tcPr>
          <w:p w14:paraId="49376D70" w14:textId="77777777" w:rsidR="005376E2" w:rsidRPr="00FE3138" w:rsidRDefault="00044E59" w:rsidP="003D6939">
            <w:pPr>
              <w:spacing w:line="480" w:lineRule="auto"/>
              <w:textAlignment w:val="baseline"/>
              <w:outlineLvl w:val="1"/>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b/>
                <w:bCs/>
                <w:color w:val="000000" w:themeColor="text1"/>
                <w:sz w:val="24"/>
                <w:szCs w:val="24"/>
              </w:rPr>
              <w:t xml:space="preserve">Inventory turnover </w:t>
            </w:r>
          </w:p>
        </w:tc>
        <w:tc>
          <w:tcPr>
            <w:tcW w:w="2070" w:type="dxa"/>
          </w:tcPr>
          <w:p w14:paraId="6E6E2E1D"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3.33</w:t>
            </w:r>
          </w:p>
        </w:tc>
        <w:tc>
          <w:tcPr>
            <w:tcW w:w="1710" w:type="dxa"/>
          </w:tcPr>
          <w:p w14:paraId="13EBF2DE"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3.23</w:t>
            </w:r>
          </w:p>
        </w:tc>
        <w:tc>
          <w:tcPr>
            <w:tcW w:w="1620" w:type="dxa"/>
          </w:tcPr>
          <w:p w14:paraId="5DD0EA84"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2.87</w:t>
            </w:r>
          </w:p>
        </w:tc>
        <w:tc>
          <w:tcPr>
            <w:tcW w:w="1620" w:type="dxa"/>
          </w:tcPr>
          <w:p w14:paraId="32C1A8D0"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2.93</w:t>
            </w:r>
          </w:p>
        </w:tc>
        <w:tc>
          <w:tcPr>
            <w:tcW w:w="1856" w:type="dxa"/>
          </w:tcPr>
          <w:p w14:paraId="4A760BC1" w14:textId="77777777" w:rsidR="005376E2" w:rsidRPr="00FE3138" w:rsidRDefault="00044E59" w:rsidP="003D6939">
            <w:pPr>
              <w:spacing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2.875</w:t>
            </w:r>
          </w:p>
        </w:tc>
      </w:tr>
    </w:tbl>
    <w:p w14:paraId="6B92E6F2" w14:textId="0C7A2F6F" w:rsidR="005376E2" w:rsidRPr="00FE3138"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From the financial statements above the healthcare facility can:</w:t>
      </w:r>
    </w:p>
    <w:p w14:paraId="205232F9" w14:textId="7C4BC660" w:rsidR="008C053C" w:rsidRPr="00FE3138" w:rsidRDefault="00044E59" w:rsidP="003D6939">
      <w:pPr>
        <w:pStyle w:val="ListParagraph"/>
        <w:numPr>
          <w:ilvl w:val="0"/>
          <w:numId w:val="15"/>
        </w:num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Improve in both the visits of outpatient and inpatient on a yearly basis resulting in the generation of revenues.</w:t>
      </w:r>
    </w:p>
    <w:p w14:paraId="4FEE1942" w14:textId="48347C18" w:rsidR="008C053C" w:rsidRPr="00FE3138" w:rsidRDefault="00044E59" w:rsidP="003D6939">
      <w:pPr>
        <w:pStyle w:val="ListParagraph"/>
        <w:numPr>
          <w:ilvl w:val="0"/>
          <w:numId w:val="15"/>
        </w:num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Improve the </w:t>
      </w:r>
      <w:r w:rsidRPr="00FE3138">
        <w:rPr>
          <w:rFonts w:ascii="Times New Roman" w:eastAsia="Times New Roman" w:hAnsi="Times New Roman" w:cs="Times New Roman"/>
          <w:color w:val="000000" w:themeColor="text1"/>
          <w:sz w:val="24"/>
          <w:szCs w:val="24"/>
          <w:lang w:val="en-GB" w:eastAsia="en-GB"/>
        </w:rPr>
        <w:t>generation of revenues from other sources of finances such as physical and maternity services.</w:t>
      </w:r>
    </w:p>
    <w:p w14:paraId="208984AB" w14:textId="61BAE31E" w:rsidR="00906C14" w:rsidRPr="00FE3138" w:rsidRDefault="00044E59" w:rsidP="003D6939">
      <w:pPr>
        <w:pStyle w:val="ListParagraph"/>
        <w:numPr>
          <w:ilvl w:val="0"/>
          <w:numId w:val="15"/>
        </w:num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A new financing plan with a borrowing of $ 2,000,000 from financial institutions, and $ 1,000,000 infusions from the financiers. </w:t>
      </w:r>
    </w:p>
    <w:p w14:paraId="405CBC84" w14:textId="77777777" w:rsidR="00132B3E" w:rsidRPr="00FE3138" w:rsidRDefault="00044E59" w:rsidP="003D6939">
      <w:pPr>
        <w:pStyle w:val="ListParagraph"/>
        <w:numPr>
          <w:ilvl w:val="0"/>
          <w:numId w:val="15"/>
        </w:num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Improvement in a variable, fixe</w:t>
      </w:r>
      <w:r w:rsidRPr="00FE3138">
        <w:rPr>
          <w:rFonts w:ascii="Times New Roman" w:eastAsia="Times New Roman" w:hAnsi="Times New Roman" w:cs="Times New Roman"/>
          <w:color w:val="000000" w:themeColor="text1"/>
          <w:sz w:val="24"/>
          <w:szCs w:val="24"/>
          <w:lang w:val="en-GB" w:eastAsia="en-GB"/>
        </w:rPr>
        <w:t>d, and other assets and reduction of other expenses to align with the promoters' investment plan.</w:t>
      </w:r>
    </w:p>
    <w:p w14:paraId="74B556ED" w14:textId="2BFAD43C" w:rsidR="00132B3E" w:rsidRPr="00FE3138"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 xml:space="preserve">Projection </w:t>
      </w:r>
      <w:r w:rsidR="00E61DC3" w:rsidRPr="00FE3138">
        <w:rPr>
          <w:rFonts w:ascii="Times New Roman" w:eastAsia="Times New Roman" w:hAnsi="Times New Roman" w:cs="Times New Roman"/>
          <w:color w:val="000000" w:themeColor="text1"/>
          <w:sz w:val="24"/>
          <w:szCs w:val="24"/>
        </w:rPr>
        <w:t>of Visits</w:t>
      </w:r>
      <w:r w:rsidRPr="00FE3138">
        <w:rPr>
          <w:rFonts w:ascii="Times New Roman" w:eastAsia="Times New Roman" w:hAnsi="Times New Roman" w:cs="Times New Roman"/>
          <w:color w:val="000000" w:themeColor="text1"/>
          <w:sz w:val="24"/>
          <w:szCs w:val="24"/>
        </w:rPr>
        <w:t xml:space="preserve"> of </w:t>
      </w:r>
      <w:r w:rsidR="00E27746" w:rsidRPr="00FE3138">
        <w:rPr>
          <w:rFonts w:ascii="Times New Roman" w:eastAsia="Times New Roman" w:hAnsi="Times New Roman" w:cs="Times New Roman"/>
          <w:color w:val="000000" w:themeColor="text1"/>
          <w:sz w:val="24"/>
          <w:szCs w:val="24"/>
        </w:rPr>
        <w:t>the In</w:t>
      </w:r>
      <w:r w:rsidRPr="00FE3138">
        <w:rPr>
          <w:rFonts w:ascii="Times New Roman" w:eastAsia="Times New Roman" w:hAnsi="Times New Roman" w:cs="Times New Roman"/>
          <w:color w:val="000000" w:themeColor="text1"/>
          <w:sz w:val="24"/>
          <w:szCs w:val="24"/>
        </w:rPr>
        <w:t>patient and</w:t>
      </w:r>
      <w:r w:rsidR="00E27746" w:rsidRPr="00FE3138">
        <w:rPr>
          <w:rFonts w:ascii="Times New Roman" w:eastAsia="Times New Roman" w:hAnsi="Times New Roman" w:cs="Times New Roman"/>
          <w:color w:val="000000" w:themeColor="text1"/>
          <w:sz w:val="24"/>
          <w:szCs w:val="24"/>
        </w:rPr>
        <w:t xml:space="preserve"> Out</w:t>
      </w:r>
      <w:r w:rsidRPr="00FE3138">
        <w:rPr>
          <w:rFonts w:ascii="Times New Roman" w:eastAsia="Times New Roman" w:hAnsi="Times New Roman" w:cs="Times New Roman"/>
          <w:color w:val="000000" w:themeColor="text1"/>
          <w:sz w:val="24"/>
          <w:szCs w:val="24"/>
        </w:rPr>
        <w:t xml:space="preserve">patient </w:t>
      </w:r>
    </w:p>
    <w:p w14:paraId="5D47C6DF" w14:textId="6591BC2D" w:rsidR="000902A7"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lang w:val="en-GB" w:eastAsia="en-GB"/>
        </w:rPr>
        <w:t xml:space="preserve">The yearly revenues of services of outpatient and inpatient are available for Krona Community Sanatorium in the information available for the </w:t>
      </w:r>
      <w:r>
        <w:rPr>
          <w:rFonts w:ascii="Times New Roman" w:eastAsia="Times New Roman" w:hAnsi="Times New Roman" w:cs="Times New Roman"/>
          <w:color w:val="000000" w:themeColor="text1"/>
          <w:sz w:val="24"/>
          <w:szCs w:val="24"/>
          <w:lang w:val="en-GB" w:eastAsia="en-GB"/>
        </w:rPr>
        <w:t xml:space="preserve">financial projections process </w:t>
      </w:r>
      <w:r>
        <w:rPr>
          <w:rFonts w:ascii="Times New Roman" w:eastAsia="Times New Roman" w:hAnsi="Times New Roman" w:cs="Times New Roman"/>
          <w:color w:val="000000" w:themeColor="text1"/>
          <w:sz w:val="24"/>
          <w:szCs w:val="24"/>
        </w:rPr>
        <w:t>(</w:t>
      </w:r>
      <w:r w:rsidRPr="00FE3138">
        <w:rPr>
          <w:rFonts w:ascii="Times New Roman" w:eastAsia="Times New Roman" w:hAnsi="Times New Roman" w:cs="Times New Roman"/>
          <w:color w:val="000000" w:themeColor="text1"/>
          <w:sz w:val="24"/>
          <w:szCs w:val="24"/>
        </w:rPr>
        <w:t xml:space="preserve">Büyüközkan, </w:t>
      </w:r>
      <w:r>
        <w:rPr>
          <w:rFonts w:ascii="Times New Roman" w:eastAsia="Times New Roman" w:hAnsi="Times New Roman" w:cs="Times New Roman"/>
          <w:color w:val="000000" w:themeColor="text1"/>
          <w:sz w:val="24"/>
          <w:szCs w:val="24"/>
        </w:rPr>
        <w:t xml:space="preserve">Çifçi, </w:t>
      </w:r>
      <w:r w:rsidRPr="00FE3138">
        <w:rPr>
          <w:rFonts w:ascii="Times New Roman" w:eastAsia="Times New Roman" w:hAnsi="Times New Roman" w:cs="Times New Roman"/>
          <w:color w:val="000000" w:themeColor="text1"/>
          <w:sz w:val="24"/>
          <w:szCs w:val="24"/>
        </w:rPr>
        <w:lastRenderedPageBreak/>
        <w:t>&amp; Güleryüz, 2011)</w:t>
      </w:r>
      <w:r>
        <w:rPr>
          <w:rFonts w:ascii="Times New Roman" w:eastAsia="Times New Roman" w:hAnsi="Times New Roman" w:cs="Times New Roman"/>
          <w:color w:val="000000" w:themeColor="text1"/>
          <w:sz w:val="24"/>
          <w:szCs w:val="24"/>
          <w:lang w:val="en-GB" w:eastAsia="en-GB"/>
        </w:rPr>
        <w:t xml:space="preserve">. </w:t>
      </w:r>
      <w:r w:rsidR="0011752F" w:rsidRPr="00FE3138">
        <w:rPr>
          <w:rFonts w:ascii="Times New Roman" w:eastAsia="Times New Roman" w:hAnsi="Times New Roman" w:cs="Times New Roman"/>
          <w:color w:val="000000" w:themeColor="text1"/>
          <w:sz w:val="24"/>
          <w:szCs w:val="24"/>
          <w:lang w:val="en-GB" w:eastAsia="en-GB"/>
        </w:rPr>
        <w:t xml:space="preserve">Regarding this, for the reasons of yearly monetary planning and forecasting, in terms of </w:t>
      </w:r>
      <w:r w:rsidR="00B40573" w:rsidRPr="00FE3138">
        <w:rPr>
          <w:rFonts w:ascii="Times New Roman" w:eastAsia="Times New Roman" w:hAnsi="Times New Roman" w:cs="Times New Roman"/>
          <w:color w:val="000000" w:themeColor="text1"/>
          <w:sz w:val="24"/>
          <w:szCs w:val="24"/>
          <w:lang w:val="en-GB" w:eastAsia="en-GB"/>
        </w:rPr>
        <w:t xml:space="preserve">the rate of the growth and the expense of per patient on a yearly basis for the same is sourced in projecting both the outpatient and inpatient visits during the very year. </w:t>
      </w:r>
    </w:p>
    <w:p w14:paraId="35D745FD" w14:textId="25A55397" w:rsidR="0047399D" w:rsidRPr="000902A7" w:rsidRDefault="00044E59" w:rsidP="003D6939">
      <w:pPr>
        <w:shd w:val="clear" w:color="auto" w:fill="FFFFFF"/>
        <w:spacing w:after="0" w:line="480" w:lineRule="auto"/>
        <w:rPr>
          <w:rFonts w:ascii="Times New Roman" w:eastAsia="Times New Roman" w:hAnsi="Times New Roman" w:cs="Times New Roman"/>
          <w:color w:val="000000" w:themeColor="text1"/>
          <w:sz w:val="24"/>
          <w:szCs w:val="24"/>
          <w:lang w:val="en-GB" w:eastAsia="en-GB"/>
        </w:rPr>
      </w:pPr>
      <w:r w:rsidRPr="00FE3138">
        <w:rPr>
          <w:rFonts w:ascii="Times New Roman" w:eastAsia="Times New Roman" w:hAnsi="Times New Roman" w:cs="Times New Roman"/>
          <w:color w:val="000000" w:themeColor="text1"/>
          <w:sz w:val="24"/>
          <w:szCs w:val="24"/>
        </w:rPr>
        <w:t>Patient involvement</w:t>
      </w:r>
    </w:p>
    <w:p w14:paraId="0906C84E" w14:textId="77C3808F" w:rsidR="000902A7" w:rsidRDefault="00044E59" w:rsidP="00E36142">
      <w:pPr>
        <w:pStyle w:val="NormalWeb"/>
        <w:shd w:val="clear" w:color="auto" w:fill="FFFFFF"/>
        <w:spacing w:before="0" w:beforeAutospacing="0" w:after="150" w:afterAutospacing="0" w:line="480" w:lineRule="auto"/>
        <w:ind w:firstLine="720"/>
        <w:rPr>
          <w:color w:val="000000" w:themeColor="text1"/>
        </w:rPr>
      </w:pPr>
      <w:r w:rsidRPr="00FE3138">
        <w:rPr>
          <w:color w:val="000000" w:themeColor="text1"/>
        </w:rPr>
        <w:t xml:space="preserve">The Health Care </w:t>
      </w:r>
      <w:r w:rsidRPr="00FE3138">
        <w:rPr>
          <w:color w:val="000000" w:themeColor="text1"/>
        </w:rPr>
        <w:t>Environment Security offers the readers with must-have details about recordkeeping, JCAHO requirements, health care environment security as well as other administrative factors expected of the Security Section</w:t>
      </w:r>
      <w:r>
        <w:rPr>
          <w:color w:val="000000" w:themeColor="text1"/>
        </w:rPr>
        <w:t xml:space="preserve"> (</w:t>
      </w:r>
      <w:r w:rsidRPr="00FE3138">
        <w:rPr>
          <w:color w:val="000000" w:themeColor="text1"/>
        </w:rPr>
        <w:t xml:space="preserve">Büyüközkan, </w:t>
      </w:r>
      <w:r>
        <w:rPr>
          <w:color w:val="000000" w:themeColor="text1"/>
        </w:rPr>
        <w:t xml:space="preserve">Çifçi, </w:t>
      </w:r>
      <w:r w:rsidRPr="00FE3138">
        <w:rPr>
          <w:color w:val="000000" w:themeColor="text1"/>
        </w:rPr>
        <w:t>&amp; Güleryüz, 2011). The req</w:t>
      </w:r>
      <w:r w:rsidRPr="00FE3138">
        <w:rPr>
          <w:color w:val="000000" w:themeColor="text1"/>
        </w:rPr>
        <w:t>uirements of the Joint Commission for security programs management require that organizations plan for the efficient, effective, accessible, and safe environment of care management. The written management plans address each of the components of the seven e</w:t>
      </w:r>
      <w:r w:rsidRPr="00FE3138">
        <w:rPr>
          <w:color w:val="000000" w:themeColor="text1"/>
        </w:rPr>
        <w:t>nvironments of care that include security. The written security management plan needs to handle the matters of security appropriate to the facility and needs to offer for education and orientation of the staff members as relevant</w:t>
      </w:r>
      <w:r w:rsidRPr="000902A7">
        <w:rPr>
          <w:color w:val="000000" w:themeColor="text1"/>
        </w:rPr>
        <w:t xml:space="preserve"> </w:t>
      </w:r>
      <w:r>
        <w:rPr>
          <w:color w:val="000000" w:themeColor="text1"/>
        </w:rPr>
        <w:t>(</w:t>
      </w:r>
      <w:r w:rsidRPr="00FE3138">
        <w:rPr>
          <w:color w:val="000000" w:themeColor="text1"/>
        </w:rPr>
        <w:t xml:space="preserve">Ettorchi-Tardy, Levif, &amp; </w:t>
      </w:r>
      <w:r w:rsidRPr="00FE3138">
        <w:rPr>
          <w:color w:val="000000" w:themeColor="text1"/>
        </w:rPr>
        <w:t>Michel, 2012). Health care facilities are also needed to establish performance standards of the security program, periodically analyze their plans, make improvements as required, and maintain records on the performances of the programs.</w:t>
      </w:r>
    </w:p>
    <w:p w14:paraId="10F739BF"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776F1DF7"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7CDD74CD"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56D6E836"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0D9756AF"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01E51CBE" w14:textId="77777777" w:rsidR="00A049BF" w:rsidRDefault="00A049BF" w:rsidP="003D6939">
      <w:pPr>
        <w:pStyle w:val="NormalWeb"/>
        <w:shd w:val="clear" w:color="auto" w:fill="FFFFFF"/>
        <w:spacing w:before="0" w:beforeAutospacing="0" w:after="150" w:afterAutospacing="0" w:line="480" w:lineRule="auto"/>
        <w:jc w:val="center"/>
        <w:rPr>
          <w:color w:val="000000" w:themeColor="text1"/>
        </w:rPr>
      </w:pPr>
    </w:p>
    <w:p w14:paraId="3467249D" w14:textId="643F091D" w:rsidR="002A5102" w:rsidRDefault="00044E59" w:rsidP="003D6939">
      <w:pPr>
        <w:pStyle w:val="NormalWeb"/>
        <w:shd w:val="clear" w:color="auto" w:fill="FFFFFF"/>
        <w:spacing w:before="0" w:beforeAutospacing="0" w:after="150" w:afterAutospacing="0" w:line="480" w:lineRule="auto"/>
        <w:jc w:val="center"/>
        <w:rPr>
          <w:color w:val="000000" w:themeColor="text1"/>
        </w:rPr>
      </w:pPr>
      <w:r w:rsidRPr="00FE3138">
        <w:rPr>
          <w:color w:val="000000" w:themeColor="text1"/>
        </w:rPr>
        <w:lastRenderedPageBreak/>
        <w:t>References</w:t>
      </w:r>
    </w:p>
    <w:p w14:paraId="29333116" w14:textId="634693CC" w:rsidR="00FE3138" w:rsidRPr="00FE3138" w:rsidRDefault="00044E59" w:rsidP="003D6939">
      <w:pPr>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Büyüközk</w:t>
      </w:r>
      <w:r w:rsidRPr="00FE3138">
        <w:rPr>
          <w:rFonts w:ascii="Times New Roman" w:eastAsia="Times New Roman" w:hAnsi="Times New Roman" w:cs="Times New Roman"/>
          <w:color w:val="000000" w:themeColor="text1"/>
          <w:sz w:val="24"/>
          <w:szCs w:val="24"/>
        </w:rPr>
        <w:t>an, G., Çifçi, G., &amp; Güleryüz, S. (2011). Strategic analysis of healthcare service quality using fuzzy AHP methodology. Expert systems with applications, 38(8), 9407-9424.</w:t>
      </w:r>
    </w:p>
    <w:p w14:paraId="300B51F2" w14:textId="6512B903" w:rsidR="00474041" w:rsidRPr="00FE3138" w:rsidRDefault="00044E59" w:rsidP="003D6939">
      <w:pPr>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FE3138">
        <w:rPr>
          <w:rFonts w:ascii="Times New Roman" w:eastAsia="Times New Roman" w:hAnsi="Times New Roman" w:cs="Times New Roman"/>
          <w:color w:val="000000" w:themeColor="text1"/>
          <w:sz w:val="24"/>
          <w:szCs w:val="24"/>
        </w:rPr>
        <w:t>Ettorchi-Tardy, A., Levif, M., &amp; Michel, P. (2012). Benchmarking: a method for conti</w:t>
      </w:r>
      <w:r w:rsidRPr="00FE3138">
        <w:rPr>
          <w:rFonts w:ascii="Times New Roman" w:eastAsia="Times New Roman" w:hAnsi="Times New Roman" w:cs="Times New Roman"/>
          <w:color w:val="000000" w:themeColor="text1"/>
          <w:sz w:val="24"/>
          <w:szCs w:val="24"/>
        </w:rPr>
        <w:t>nuous quality improvement in health. Healthcare policy, 7(4), e101.</w:t>
      </w:r>
    </w:p>
    <w:sectPr w:rsidR="00474041" w:rsidRPr="00FE3138" w:rsidSect="00A049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8CEFC" w14:textId="77777777" w:rsidR="00044E59" w:rsidRDefault="00044E59" w:rsidP="00A049BF">
      <w:pPr>
        <w:spacing w:after="0" w:line="240" w:lineRule="auto"/>
      </w:pPr>
      <w:r>
        <w:separator/>
      </w:r>
    </w:p>
  </w:endnote>
  <w:endnote w:type="continuationSeparator" w:id="0">
    <w:p w14:paraId="41F4EE4D" w14:textId="77777777" w:rsidR="00044E59" w:rsidRDefault="00044E59" w:rsidP="00A04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479B0" w14:textId="77777777" w:rsidR="00044E59" w:rsidRDefault="00044E59" w:rsidP="00A049BF">
      <w:pPr>
        <w:spacing w:after="0" w:line="240" w:lineRule="auto"/>
      </w:pPr>
      <w:r>
        <w:separator/>
      </w:r>
    </w:p>
  </w:footnote>
  <w:footnote w:type="continuationSeparator" w:id="0">
    <w:p w14:paraId="02B8D032" w14:textId="77777777" w:rsidR="00044E59" w:rsidRDefault="00044E59" w:rsidP="00A049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57223"/>
      <w:docPartObj>
        <w:docPartGallery w:val="Page Numbers (Top of Page)"/>
        <w:docPartUnique/>
      </w:docPartObj>
    </w:sdtPr>
    <w:sdtEndPr>
      <w:rPr>
        <w:noProof/>
      </w:rPr>
    </w:sdtEndPr>
    <w:sdtContent>
      <w:p w14:paraId="735C24CC" w14:textId="1CDC33E4" w:rsidR="00A049BF" w:rsidRPr="00A049BF" w:rsidRDefault="00A049BF">
        <w:pPr>
          <w:pStyle w:val="Header"/>
          <w:rPr>
            <w:rFonts w:ascii="Times New Roman" w:hAnsi="Times New Roman" w:cs="Times New Roman"/>
            <w:sz w:val="24"/>
            <w:szCs w:val="24"/>
          </w:rPr>
        </w:pPr>
        <w:r w:rsidRPr="00A049BF">
          <w:rPr>
            <w:rFonts w:ascii="Times New Roman" w:hAnsi="Times New Roman" w:cs="Times New Roman"/>
            <w:sz w:val="24"/>
            <w:szCs w:val="24"/>
          </w:rPr>
          <w:t>HEALTHCARE BENCHMARKING AND QUALITY ANALYSIS</w:t>
        </w:r>
        <w:r w:rsidRPr="00A049BF">
          <w:rPr>
            <w:rFonts w:ascii="Times New Roman" w:hAnsi="Times New Roman" w:cs="Times New Roman"/>
            <w:sz w:val="24"/>
            <w:szCs w:val="24"/>
          </w:rPr>
          <w:tab/>
        </w:r>
        <w:r w:rsidRPr="00A049BF">
          <w:rPr>
            <w:rFonts w:ascii="Times New Roman" w:hAnsi="Times New Roman" w:cs="Times New Roman"/>
            <w:sz w:val="24"/>
            <w:szCs w:val="24"/>
          </w:rPr>
          <w:fldChar w:fldCharType="begin"/>
        </w:r>
        <w:r w:rsidRPr="00A049BF">
          <w:rPr>
            <w:rFonts w:ascii="Times New Roman" w:hAnsi="Times New Roman" w:cs="Times New Roman"/>
            <w:sz w:val="24"/>
            <w:szCs w:val="24"/>
          </w:rPr>
          <w:instrText xml:space="preserve"> PAGE   \* MERGEFORMAT </w:instrText>
        </w:r>
        <w:r w:rsidRPr="00A049BF">
          <w:rPr>
            <w:rFonts w:ascii="Times New Roman" w:hAnsi="Times New Roman" w:cs="Times New Roman"/>
            <w:sz w:val="24"/>
            <w:szCs w:val="24"/>
          </w:rPr>
          <w:fldChar w:fldCharType="separate"/>
        </w:r>
        <w:r w:rsidR="00E36142">
          <w:rPr>
            <w:rFonts w:ascii="Times New Roman" w:hAnsi="Times New Roman" w:cs="Times New Roman"/>
            <w:noProof/>
            <w:sz w:val="24"/>
            <w:szCs w:val="24"/>
          </w:rPr>
          <w:t>7</w:t>
        </w:r>
        <w:r w:rsidRPr="00A049B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4BF09" w14:textId="7C12DC6A" w:rsidR="00A049BF" w:rsidRPr="00A049BF" w:rsidRDefault="00A049BF" w:rsidP="00A049BF">
    <w:pPr>
      <w:pStyle w:val="Header"/>
      <w:jc w:val="right"/>
      <w:rPr>
        <w:rFonts w:ascii="Times New Roman" w:hAnsi="Times New Roman" w:cs="Times New Roman"/>
        <w:sz w:val="24"/>
        <w:szCs w:val="24"/>
      </w:rPr>
    </w:pPr>
    <w:r w:rsidRPr="00A049BF">
      <w:rPr>
        <w:rFonts w:ascii="Times New Roman" w:hAnsi="Times New Roman" w:cs="Times New Roman"/>
        <w:sz w:val="24"/>
        <w:szCs w:val="24"/>
      </w:rPr>
      <w:t xml:space="preserve">Running head: HEALTHCARE BENCHMARKING AND QUALITY ANALYSIS </w:t>
    </w:r>
    <w:r w:rsidRPr="00A049BF">
      <w:rPr>
        <w:rFonts w:ascii="Times New Roman" w:hAnsi="Times New Roman" w:cs="Times New Roman"/>
        <w:sz w:val="24"/>
        <w:szCs w:val="24"/>
      </w:rPr>
      <w:tab/>
    </w:r>
    <w:sdt>
      <w:sdtPr>
        <w:rPr>
          <w:rFonts w:ascii="Times New Roman" w:hAnsi="Times New Roman" w:cs="Times New Roman"/>
          <w:sz w:val="24"/>
          <w:szCs w:val="24"/>
        </w:rPr>
        <w:id w:val="1399409055"/>
        <w:docPartObj>
          <w:docPartGallery w:val="Page Numbers (Top of Page)"/>
          <w:docPartUnique/>
        </w:docPartObj>
      </w:sdtPr>
      <w:sdtEndPr>
        <w:rPr>
          <w:noProof/>
        </w:rPr>
      </w:sdtEndPr>
      <w:sdtContent>
        <w:r w:rsidRPr="00A049BF">
          <w:rPr>
            <w:rFonts w:ascii="Times New Roman" w:hAnsi="Times New Roman" w:cs="Times New Roman"/>
            <w:sz w:val="24"/>
            <w:szCs w:val="24"/>
          </w:rPr>
          <w:fldChar w:fldCharType="begin"/>
        </w:r>
        <w:r w:rsidRPr="00A049BF">
          <w:rPr>
            <w:rFonts w:ascii="Times New Roman" w:hAnsi="Times New Roman" w:cs="Times New Roman"/>
            <w:sz w:val="24"/>
            <w:szCs w:val="24"/>
          </w:rPr>
          <w:instrText xml:space="preserve"> PAGE   \* MERGEFORMAT </w:instrText>
        </w:r>
        <w:r w:rsidRPr="00A049BF">
          <w:rPr>
            <w:rFonts w:ascii="Times New Roman" w:hAnsi="Times New Roman" w:cs="Times New Roman"/>
            <w:sz w:val="24"/>
            <w:szCs w:val="24"/>
          </w:rPr>
          <w:fldChar w:fldCharType="separate"/>
        </w:r>
        <w:r w:rsidR="00E36142">
          <w:rPr>
            <w:rFonts w:ascii="Times New Roman" w:hAnsi="Times New Roman" w:cs="Times New Roman"/>
            <w:noProof/>
            <w:sz w:val="24"/>
            <w:szCs w:val="24"/>
          </w:rPr>
          <w:t>1</w:t>
        </w:r>
        <w:r w:rsidRPr="00A049B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83329"/>
    <w:multiLevelType w:val="multilevel"/>
    <w:tmpl w:val="AD4A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B51E3F"/>
    <w:multiLevelType w:val="multilevel"/>
    <w:tmpl w:val="386E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C6793D"/>
    <w:multiLevelType w:val="multilevel"/>
    <w:tmpl w:val="C712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6F5C5D"/>
    <w:multiLevelType w:val="multilevel"/>
    <w:tmpl w:val="595A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1477D1"/>
    <w:multiLevelType w:val="multilevel"/>
    <w:tmpl w:val="AE3C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4A1C7F"/>
    <w:multiLevelType w:val="multilevel"/>
    <w:tmpl w:val="F8C2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BC339B"/>
    <w:multiLevelType w:val="hybridMultilevel"/>
    <w:tmpl w:val="21AE855E"/>
    <w:lvl w:ilvl="0" w:tplc="1D022D14">
      <w:start w:val="1"/>
      <w:numFmt w:val="bullet"/>
      <w:lvlText w:val=""/>
      <w:lvlJc w:val="left"/>
      <w:pPr>
        <w:ind w:left="720" w:hanging="360"/>
      </w:pPr>
      <w:rPr>
        <w:rFonts w:ascii="Symbol" w:hAnsi="Symbol" w:hint="default"/>
      </w:rPr>
    </w:lvl>
    <w:lvl w:ilvl="1" w:tplc="BD76FE88" w:tentative="1">
      <w:start w:val="1"/>
      <w:numFmt w:val="bullet"/>
      <w:lvlText w:val="o"/>
      <w:lvlJc w:val="left"/>
      <w:pPr>
        <w:ind w:left="1440" w:hanging="360"/>
      </w:pPr>
      <w:rPr>
        <w:rFonts w:ascii="Courier New" w:hAnsi="Courier New" w:cs="Courier New" w:hint="default"/>
      </w:rPr>
    </w:lvl>
    <w:lvl w:ilvl="2" w:tplc="362E03CE" w:tentative="1">
      <w:start w:val="1"/>
      <w:numFmt w:val="bullet"/>
      <w:lvlText w:val=""/>
      <w:lvlJc w:val="left"/>
      <w:pPr>
        <w:ind w:left="2160" w:hanging="360"/>
      </w:pPr>
      <w:rPr>
        <w:rFonts w:ascii="Wingdings" w:hAnsi="Wingdings" w:hint="default"/>
      </w:rPr>
    </w:lvl>
    <w:lvl w:ilvl="3" w:tplc="79007BAA" w:tentative="1">
      <w:start w:val="1"/>
      <w:numFmt w:val="bullet"/>
      <w:lvlText w:val=""/>
      <w:lvlJc w:val="left"/>
      <w:pPr>
        <w:ind w:left="2880" w:hanging="360"/>
      </w:pPr>
      <w:rPr>
        <w:rFonts w:ascii="Symbol" w:hAnsi="Symbol" w:hint="default"/>
      </w:rPr>
    </w:lvl>
    <w:lvl w:ilvl="4" w:tplc="BB82E5BC" w:tentative="1">
      <w:start w:val="1"/>
      <w:numFmt w:val="bullet"/>
      <w:lvlText w:val="o"/>
      <w:lvlJc w:val="left"/>
      <w:pPr>
        <w:ind w:left="3600" w:hanging="360"/>
      </w:pPr>
      <w:rPr>
        <w:rFonts w:ascii="Courier New" w:hAnsi="Courier New" w:cs="Courier New" w:hint="default"/>
      </w:rPr>
    </w:lvl>
    <w:lvl w:ilvl="5" w:tplc="04663C4C" w:tentative="1">
      <w:start w:val="1"/>
      <w:numFmt w:val="bullet"/>
      <w:lvlText w:val=""/>
      <w:lvlJc w:val="left"/>
      <w:pPr>
        <w:ind w:left="4320" w:hanging="360"/>
      </w:pPr>
      <w:rPr>
        <w:rFonts w:ascii="Wingdings" w:hAnsi="Wingdings" w:hint="default"/>
      </w:rPr>
    </w:lvl>
    <w:lvl w:ilvl="6" w:tplc="AC666E92" w:tentative="1">
      <w:start w:val="1"/>
      <w:numFmt w:val="bullet"/>
      <w:lvlText w:val=""/>
      <w:lvlJc w:val="left"/>
      <w:pPr>
        <w:ind w:left="5040" w:hanging="360"/>
      </w:pPr>
      <w:rPr>
        <w:rFonts w:ascii="Symbol" w:hAnsi="Symbol" w:hint="default"/>
      </w:rPr>
    </w:lvl>
    <w:lvl w:ilvl="7" w:tplc="6756D732" w:tentative="1">
      <w:start w:val="1"/>
      <w:numFmt w:val="bullet"/>
      <w:lvlText w:val="o"/>
      <w:lvlJc w:val="left"/>
      <w:pPr>
        <w:ind w:left="5760" w:hanging="360"/>
      </w:pPr>
      <w:rPr>
        <w:rFonts w:ascii="Courier New" w:hAnsi="Courier New" w:cs="Courier New" w:hint="default"/>
      </w:rPr>
    </w:lvl>
    <w:lvl w:ilvl="8" w:tplc="1304CC4A" w:tentative="1">
      <w:start w:val="1"/>
      <w:numFmt w:val="bullet"/>
      <w:lvlText w:val=""/>
      <w:lvlJc w:val="left"/>
      <w:pPr>
        <w:ind w:left="6480" w:hanging="360"/>
      </w:pPr>
      <w:rPr>
        <w:rFonts w:ascii="Wingdings" w:hAnsi="Wingdings" w:hint="default"/>
      </w:rPr>
    </w:lvl>
  </w:abstractNum>
  <w:abstractNum w:abstractNumId="7">
    <w:nsid w:val="3C636F4A"/>
    <w:multiLevelType w:val="multilevel"/>
    <w:tmpl w:val="8B6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5C3E9B"/>
    <w:multiLevelType w:val="hybridMultilevel"/>
    <w:tmpl w:val="E3409700"/>
    <w:lvl w:ilvl="0" w:tplc="84B2246C">
      <w:start w:val="1"/>
      <w:numFmt w:val="bullet"/>
      <w:lvlText w:val=""/>
      <w:lvlJc w:val="left"/>
      <w:pPr>
        <w:ind w:left="720" w:hanging="360"/>
      </w:pPr>
      <w:rPr>
        <w:rFonts w:ascii="Symbol" w:hAnsi="Symbol" w:hint="default"/>
      </w:rPr>
    </w:lvl>
    <w:lvl w:ilvl="1" w:tplc="CF58DED8" w:tentative="1">
      <w:start w:val="1"/>
      <w:numFmt w:val="bullet"/>
      <w:lvlText w:val="o"/>
      <w:lvlJc w:val="left"/>
      <w:pPr>
        <w:ind w:left="1440" w:hanging="360"/>
      </w:pPr>
      <w:rPr>
        <w:rFonts w:ascii="Courier New" w:hAnsi="Courier New" w:cs="Courier New" w:hint="default"/>
      </w:rPr>
    </w:lvl>
    <w:lvl w:ilvl="2" w:tplc="9F2006D4" w:tentative="1">
      <w:start w:val="1"/>
      <w:numFmt w:val="bullet"/>
      <w:lvlText w:val=""/>
      <w:lvlJc w:val="left"/>
      <w:pPr>
        <w:ind w:left="2160" w:hanging="360"/>
      </w:pPr>
      <w:rPr>
        <w:rFonts w:ascii="Wingdings" w:hAnsi="Wingdings" w:hint="default"/>
      </w:rPr>
    </w:lvl>
    <w:lvl w:ilvl="3" w:tplc="433CA7F6" w:tentative="1">
      <w:start w:val="1"/>
      <w:numFmt w:val="bullet"/>
      <w:lvlText w:val=""/>
      <w:lvlJc w:val="left"/>
      <w:pPr>
        <w:ind w:left="2880" w:hanging="360"/>
      </w:pPr>
      <w:rPr>
        <w:rFonts w:ascii="Symbol" w:hAnsi="Symbol" w:hint="default"/>
      </w:rPr>
    </w:lvl>
    <w:lvl w:ilvl="4" w:tplc="37CE5756" w:tentative="1">
      <w:start w:val="1"/>
      <w:numFmt w:val="bullet"/>
      <w:lvlText w:val="o"/>
      <w:lvlJc w:val="left"/>
      <w:pPr>
        <w:ind w:left="3600" w:hanging="360"/>
      </w:pPr>
      <w:rPr>
        <w:rFonts w:ascii="Courier New" w:hAnsi="Courier New" w:cs="Courier New" w:hint="default"/>
      </w:rPr>
    </w:lvl>
    <w:lvl w:ilvl="5" w:tplc="FD1832F4" w:tentative="1">
      <w:start w:val="1"/>
      <w:numFmt w:val="bullet"/>
      <w:lvlText w:val=""/>
      <w:lvlJc w:val="left"/>
      <w:pPr>
        <w:ind w:left="4320" w:hanging="360"/>
      </w:pPr>
      <w:rPr>
        <w:rFonts w:ascii="Wingdings" w:hAnsi="Wingdings" w:hint="default"/>
      </w:rPr>
    </w:lvl>
    <w:lvl w:ilvl="6" w:tplc="17102418" w:tentative="1">
      <w:start w:val="1"/>
      <w:numFmt w:val="bullet"/>
      <w:lvlText w:val=""/>
      <w:lvlJc w:val="left"/>
      <w:pPr>
        <w:ind w:left="5040" w:hanging="360"/>
      </w:pPr>
      <w:rPr>
        <w:rFonts w:ascii="Symbol" w:hAnsi="Symbol" w:hint="default"/>
      </w:rPr>
    </w:lvl>
    <w:lvl w:ilvl="7" w:tplc="FCDA0486" w:tentative="1">
      <w:start w:val="1"/>
      <w:numFmt w:val="bullet"/>
      <w:lvlText w:val="o"/>
      <w:lvlJc w:val="left"/>
      <w:pPr>
        <w:ind w:left="5760" w:hanging="360"/>
      </w:pPr>
      <w:rPr>
        <w:rFonts w:ascii="Courier New" w:hAnsi="Courier New" w:cs="Courier New" w:hint="default"/>
      </w:rPr>
    </w:lvl>
    <w:lvl w:ilvl="8" w:tplc="F40E6252" w:tentative="1">
      <w:start w:val="1"/>
      <w:numFmt w:val="bullet"/>
      <w:lvlText w:val=""/>
      <w:lvlJc w:val="left"/>
      <w:pPr>
        <w:ind w:left="6480" w:hanging="360"/>
      </w:pPr>
      <w:rPr>
        <w:rFonts w:ascii="Wingdings" w:hAnsi="Wingdings" w:hint="default"/>
      </w:rPr>
    </w:lvl>
  </w:abstractNum>
  <w:abstractNum w:abstractNumId="9">
    <w:nsid w:val="41621F79"/>
    <w:multiLevelType w:val="multilevel"/>
    <w:tmpl w:val="5512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0F78F9"/>
    <w:multiLevelType w:val="multilevel"/>
    <w:tmpl w:val="72E6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79637C"/>
    <w:multiLevelType w:val="hybridMultilevel"/>
    <w:tmpl w:val="B4CA34FE"/>
    <w:lvl w:ilvl="0" w:tplc="88BAD232">
      <w:start w:val="1"/>
      <w:numFmt w:val="bullet"/>
      <w:lvlText w:val=""/>
      <w:lvlJc w:val="left"/>
      <w:pPr>
        <w:ind w:left="720" w:hanging="360"/>
      </w:pPr>
      <w:rPr>
        <w:rFonts w:ascii="Symbol" w:hAnsi="Symbol" w:hint="default"/>
      </w:rPr>
    </w:lvl>
    <w:lvl w:ilvl="1" w:tplc="66288468" w:tentative="1">
      <w:start w:val="1"/>
      <w:numFmt w:val="bullet"/>
      <w:lvlText w:val="o"/>
      <w:lvlJc w:val="left"/>
      <w:pPr>
        <w:ind w:left="1440" w:hanging="360"/>
      </w:pPr>
      <w:rPr>
        <w:rFonts w:ascii="Courier New" w:hAnsi="Courier New" w:cs="Courier New" w:hint="default"/>
      </w:rPr>
    </w:lvl>
    <w:lvl w:ilvl="2" w:tplc="14149B10" w:tentative="1">
      <w:start w:val="1"/>
      <w:numFmt w:val="bullet"/>
      <w:lvlText w:val=""/>
      <w:lvlJc w:val="left"/>
      <w:pPr>
        <w:ind w:left="2160" w:hanging="360"/>
      </w:pPr>
      <w:rPr>
        <w:rFonts w:ascii="Wingdings" w:hAnsi="Wingdings" w:hint="default"/>
      </w:rPr>
    </w:lvl>
    <w:lvl w:ilvl="3" w:tplc="288A9CDA" w:tentative="1">
      <w:start w:val="1"/>
      <w:numFmt w:val="bullet"/>
      <w:lvlText w:val=""/>
      <w:lvlJc w:val="left"/>
      <w:pPr>
        <w:ind w:left="2880" w:hanging="360"/>
      </w:pPr>
      <w:rPr>
        <w:rFonts w:ascii="Symbol" w:hAnsi="Symbol" w:hint="default"/>
      </w:rPr>
    </w:lvl>
    <w:lvl w:ilvl="4" w:tplc="BCB618F4" w:tentative="1">
      <w:start w:val="1"/>
      <w:numFmt w:val="bullet"/>
      <w:lvlText w:val="o"/>
      <w:lvlJc w:val="left"/>
      <w:pPr>
        <w:ind w:left="3600" w:hanging="360"/>
      </w:pPr>
      <w:rPr>
        <w:rFonts w:ascii="Courier New" w:hAnsi="Courier New" w:cs="Courier New" w:hint="default"/>
      </w:rPr>
    </w:lvl>
    <w:lvl w:ilvl="5" w:tplc="9078C700" w:tentative="1">
      <w:start w:val="1"/>
      <w:numFmt w:val="bullet"/>
      <w:lvlText w:val=""/>
      <w:lvlJc w:val="left"/>
      <w:pPr>
        <w:ind w:left="4320" w:hanging="360"/>
      </w:pPr>
      <w:rPr>
        <w:rFonts w:ascii="Wingdings" w:hAnsi="Wingdings" w:hint="default"/>
      </w:rPr>
    </w:lvl>
    <w:lvl w:ilvl="6" w:tplc="CF60391C" w:tentative="1">
      <w:start w:val="1"/>
      <w:numFmt w:val="bullet"/>
      <w:lvlText w:val=""/>
      <w:lvlJc w:val="left"/>
      <w:pPr>
        <w:ind w:left="5040" w:hanging="360"/>
      </w:pPr>
      <w:rPr>
        <w:rFonts w:ascii="Symbol" w:hAnsi="Symbol" w:hint="default"/>
      </w:rPr>
    </w:lvl>
    <w:lvl w:ilvl="7" w:tplc="3CC84F2E" w:tentative="1">
      <w:start w:val="1"/>
      <w:numFmt w:val="bullet"/>
      <w:lvlText w:val="o"/>
      <w:lvlJc w:val="left"/>
      <w:pPr>
        <w:ind w:left="5760" w:hanging="360"/>
      </w:pPr>
      <w:rPr>
        <w:rFonts w:ascii="Courier New" w:hAnsi="Courier New" w:cs="Courier New" w:hint="default"/>
      </w:rPr>
    </w:lvl>
    <w:lvl w:ilvl="8" w:tplc="F60EF824" w:tentative="1">
      <w:start w:val="1"/>
      <w:numFmt w:val="bullet"/>
      <w:lvlText w:val=""/>
      <w:lvlJc w:val="left"/>
      <w:pPr>
        <w:ind w:left="6480" w:hanging="360"/>
      </w:pPr>
      <w:rPr>
        <w:rFonts w:ascii="Wingdings" w:hAnsi="Wingdings" w:hint="default"/>
      </w:rPr>
    </w:lvl>
  </w:abstractNum>
  <w:abstractNum w:abstractNumId="12">
    <w:nsid w:val="519D3811"/>
    <w:multiLevelType w:val="multilevel"/>
    <w:tmpl w:val="59D6C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862301"/>
    <w:multiLevelType w:val="multilevel"/>
    <w:tmpl w:val="5166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4C4ADC"/>
    <w:multiLevelType w:val="multilevel"/>
    <w:tmpl w:val="3F84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1A02CD"/>
    <w:multiLevelType w:val="multilevel"/>
    <w:tmpl w:val="35D4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37165C"/>
    <w:multiLevelType w:val="multilevel"/>
    <w:tmpl w:val="F512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0"/>
  </w:num>
  <w:num w:numId="4">
    <w:abstractNumId w:val="9"/>
  </w:num>
  <w:num w:numId="5">
    <w:abstractNumId w:val="2"/>
  </w:num>
  <w:num w:numId="6">
    <w:abstractNumId w:val="12"/>
  </w:num>
  <w:num w:numId="7">
    <w:abstractNumId w:val="1"/>
  </w:num>
  <w:num w:numId="8">
    <w:abstractNumId w:val="16"/>
  </w:num>
  <w:num w:numId="9">
    <w:abstractNumId w:val="4"/>
  </w:num>
  <w:num w:numId="10">
    <w:abstractNumId w:val="15"/>
  </w:num>
  <w:num w:numId="11">
    <w:abstractNumId w:val="0"/>
  </w:num>
  <w:num w:numId="12">
    <w:abstractNumId w:val="7"/>
  </w:num>
  <w:num w:numId="13">
    <w:abstractNumId w:val="5"/>
  </w:num>
  <w:num w:numId="14">
    <w:abstractNumId w:val="13"/>
  </w:num>
  <w:num w:numId="15">
    <w:abstractNumId w:val="11"/>
  </w:num>
  <w:num w:numId="16">
    <w:abstractNumId w:va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377"/>
    <w:rsid w:val="0000242E"/>
    <w:rsid w:val="00002C1F"/>
    <w:rsid w:val="000144DF"/>
    <w:rsid w:val="00044E59"/>
    <w:rsid w:val="000902A7"/>
    <w:rsid w:val="000C4EF5"/>
    <w:rsid w:val="0011752F"/>
    <w:rsid w:val="0012212D"/>
    <w:rsid w:val="00132B3E"/>
    <w:rsid w:val="00142ECD"/>
    <w:rsid w:val="00145551"/>
    <w:rsid w:val="001B2AF9"/>
    <w:rsid w:val="00223008"/>
    <w:rsid w:val="00231A33"/>
    <w:rsid w:val="00267D7E"/>
    <w:rsid w:val="00272379"/>
    <w:rsid w:val="002879D7"/>
    <w:rsid w:val="002901D2"/>
    <w:rsid w:val="002A5102"/>
    <w:rsid w:val="002C2634"/>
    <w:rsid w:val="002E4B69"/>
    <w:rsid w:val="00312BBB"/>
    <w:rsid w:val="00313457"/>
    <w:rsid w:val="003213AD"/>
    <w:rsid w:val="003609BE"/>
    <w:rsid w:val="003D6939"/>
    <w:rsid w:val="00406EB4"/>
    <w:rsid w:val="00433A62"/>
    <w:rsid w:val="0043417E"/>
    <w:rsid w:val="0047399D"/>
    <w:rsid w:val="00474041"/>
    <w:rsid w:val="00486377"/>
    <w:rsid w:val="004C4DA1"/>
    <w:rsid w:val="004D3928"/>
    <w:rsid w:val="00531C9F"/>
    <w:rsid w:val="005345AF"/>
    <w:rsid w:val="005376E2"/>
    <w:rsid w:val="00542B36"/>
    <w:rsid w:val="00566CE9"/>
    <w:rsid w:val="005B298D"/>
    <w:rsid w:val="00641284"/>
    <w:rsid w:val="007B16C7"/>
    <w:rsid w:val="007B5267"/>
    <w:rsid w:val="007B69B8"/>
    <w:rsid w:val="007D25A6"/>
    <w:rsid w:val="008620AE"/>
    <w:rsid w:val="00892047"/>
    <w:rsid w:val="008C053C"/>
    <w:rsid w:val="00906C14"/>
    <w:rsid w:val="009273F4"/>
    <w:rsid w:val="00950CF5"/>
    <w:rsid w:val="00992B3F"/>
    <w:rsid w:val="009B7D09"/>
    <w:rsid w:val="00A049BF"/>
    <w:rsid w:val="00A223FA"/>
    <w:rsid w:val="00A455D5"/>
    <w:rsid w:val="00A97291"/>
    <w:rsid w:val="00AC2D4D"/>
    <w:rsid w:val="00AE00DD"/>
    <w:rsid w:val="00AE3E84"/>
    <w:rsid w:val="00B15E95"/>
    <w:rsid w:val="00B40573"/>
    <w:rsid w:val="00BA53A3"/>
    <w:rsid w:val="00BB39C0"/>
    <w:rsid w:val="00BC5416"/>
    <w:rsid w:val="00BC6F63"/>
    <w:rsid w:val="00BF63CB"/>
    <w:rsid w:val="00C244CB"/>
    <w:rsid w:val="00CC23DC"/>
    <w:rsid w:val="00CE4FF4"/>
    <w:rsid w:val="00CF61E3"/>
    <w:rsid w:val="00DF3365"/>
    <w:rsid w:val="00E27746"/>
    <w:rsid w:val="00E36142"/>
    <w:rsid w:val="00E37A76"/>
    <w:rsid w:val="00E60CBB"/>
    <w:rsid w:val="00E61DC3"/>
    <w:rsid w:val="00EC4067"/>
    <w:rsid w:val="00F26502"/>
    <w:rsid w:val="00F57366"/>
    <w:rsid w:val="00F767E4"/>
    <w:rsid w:val="00FD3D4F"/>
    <w:rsid w:val="00FE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FDB05A-C6B6-4B2B-9216-3C8EA0BA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21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A51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F26502"/>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26502"/>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F26502"/>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5102"/>
    <w:rPr>
      <w:rFonts w:ascii="Times New Roman" w:eastAsia="Times New Roman" w:hAnsi="Times New Roman" w:cs="Times New Roman"/>
      <w:b/>
      <w:bCs/>
      <w:sz w:val="36"/>
      <w:szCs w:val="36"/>
    </w:rPr>
  </w:style>
  <w:style w:type="paragraph" w:styleId="NormalWeb">
    <w:name w:val="Normal (Web)"/>
    <w:basedOn w:val="Normal"/>
    <w:uiPriority w:val="99"/>
    <w:unhideWhenUsed/>
    <w:rsid w:val="002A51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5102"/>
    <w:rPr>
      <w:b/>
      <w:bCs/>
    </w:rPr>
  </w:style>
  <w:style w:type="character" w:customStyle="1" w:styleId="itquestioncontent">
    <w:name w:val="itquestioncontent"/>
    <w:basedOn w:val="DefaultParagraphFont"/>
    <w:rsid w:val="002A5102"/>
  </w:style>
  <w:style w:type="character" w:customStyle="1" w:styleId="iteditsingleattach">
    <w:name w:val="iteditsingleattach"/>
    <w:basedOn w:val="DefaultParagraphFont"/>
    <w:rsid w:val="002A5102"/>
  </w:style>
  <w:style w:type="character" w:customStyle="1" w:styleId="Heading1Char">
    <w:name w:val="Heading 1 Char"/>
    <w:basedOn w:val="DefaultParagraphFont"/>
    <w:link w:val="Heading1"/>
    <w:uiPriority w:val="9"/>
    <w:rsid w:val="0012212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2650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F26502"/>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F26502"/>
    <w:rPr>
      <w:rFonts w:asciiTheme="majorHAnsi" w:eastAsiaTheme="majorEastAsia" w:hAnsiTheme="majorHAnsi" w:cstheme="majorBidi"/>
      <w:i/>
      <w:iCs/>
      <w:color w:val="1F4D78" w:themeColor="accent1" w:themeShade="7F"/>
    </w:rPr>
  </w:style>
  <w:style w:type="table" w:styleId="TableGrid">
    <w:name w:val="Table Grid"/>
    <w:basedOn w:val="TableNormal"/>
    <w:uiPriority w:val="39"/>
    <w:rsid w:val="00537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053C"/>
    <w:pPr>
      <w:ind w:left="720"/>
      <w:contextualSpacing/>
    </w:pPr>
  </w:style>
  <w:style w:type="character" w:styleId="Hyperlink">
    <w:name w:val="Hyperlink"/>
    <w:basedOn w:val="DefaultParagraphFont"/>
    <w:uiPriority w:val="99"/>
    <w:unhideWhenUsed/>
    <w:rsid w:val="00566CE9"/>
    <w:rPr>
      <w:color w:val="0563C1" w:themeColor="hyperlink"/>
      <w:u w:val="single"/>
    </w:rPr>
  </w:style>
  <w:style w:type="paragraph" w:styleId="Header">
    <w:name w:val="header"/>
    <w:basedOn w:val="Normal"/>
    <w:link w:val="HeaderChar"/>
    <w:uiPriority w:val="99"/>
    <w:unhideWhenUsed/>
    <w:rsid w:val="00A04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9BF"/>
  </w:style>
  <w:style w:type="paragraph" w:styleId="Footer">
    <w:name w:val="footer"/>
    <w:basedOn w:val="Normal"/>
    <w:link w:val="FooterChar"/>
    <w:uiPriority w:val="99"/>
    <w:unhideWhenUsed/>
    <w:rsid w:val="00A04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9BF"/>
  </w:style>
  <w:style w:type="paragraph" w:styleId="NoSpacing">
    <w:name w:val="No Spacing"/>
    <w:uiPriority w:val="1"/>
    <w:qFormat/>
    <w:rsid w:val="00E361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9717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Morrison</dc:creator>
  <cp:lastModifiedBy>Kelvin Jackson</cp:lastModifiedBy>
  <cp:revision>2</cp:revision>
  <dcterms:created xsi:type="dcterms:W3CDTF">2019-06-05T08:20:00Z</dcterms:created>
  <dcterms:modified xsi:type="dcterms:W3CDTF">2019-06-05T08:20:00Z</dcterms:modified>
</cp:coreProperties>
</file>