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2F4720" w14:textId="77777777" w:rsidR="00E1177A" w:rsidRDefault="00E1177A" w:rsidP="00E1177A">
      <w:pPr>
        <w:pStyle w:val="NormalWeb"/>
        <w:spacing w:before="0" w:beforeAutospacing="0" w:after="0" w:afterAutospacing="0" w:line="480" w:lineRule="auto"/>
        <w:jc w:val="center"/>
        <w:rPr>
          <w:rStyle w:val="Strong"/>
          <w:color w:val="0E101A"/>
        </w:rPr>
      </w:pPr>
      <w:bookmarkStart w:id="0" w:name="_GoBack"/>
      <w:bookmarkEnd w:id="0"/>
    </w:p>
    <w:p w14:paraId="7346F7AD" w14:textId="77777777" w:rsidR="00E1177A" w:rsidRDefault="00E1177A" w:rsidP="00E1177A">
      <w:pPr>
        <w:pStyle w:val="NormalWeb"/>
        <w:spacing w:before="0" w:beforeAutospacing="0" w:after="0" w:afterAutospacing="0" w:line="480" w:lineRule="auto"/>
        <w:jc w:val="center"/>
        <w:rPr>
          <w:rStyle w:val="Strong"/>
          <w:color w:val="0E101A"/>
        </w:rPr>
      </w:pPr>
    </w:p>
    <w:p w14:paraId="7073A0E2" w14:textId="77777777" w:rsidR="00E1177A" w:rsidRDefault="00E1177A" w:rsidP="00E1177A">
      <w:pPr>
        <w:pStyle w:val="NormalWeb"/>
        <w:spacing w:before="0" w:beforeAutospacing="0" w:after="0" w:afterAutospacing="0" w:line="480" w:lineRule="auto"/>
        <w:jc w:val="center"/>
        <w:rPr>
          <w:rStyle w:val="Strong"/>
          <w:color w:val="0E101A"/>
        </w:rPr>
      </w:pPr>
    </w:p>
    <w:p w14:paraId="74B18E0C" w14:textId="77777777" w:rsidR="00E1177A" w:rsidRDefault="00E1177A" w:rsidP="00E1177A">
      <w:pPr>
        <w:pStyle w:val="NormalWeb"/>
        <w:spacing w:before="0" w:beforeAutospacing="0" w:after="0" w:afterAutospacing="0" w:line="480" w:lineRule="auto"/>
        <w:jc w:val="center"/>
        <w:rPr>
          <w:rStyle w:val="Strong"/>
          <w:color w:val="0E101A"/>
        </w:rPr>
      </w:pPr>
    </w:p>
    <w:p w14:paraId="51C6F56E" w14:textId="1EEFE85A" w:rsidR="00E1177A" w:rsidRPr="00E1177A" w:rsidRDefault="00E1177A" w:rsidP="00E1177A">
      <w:pPr>
        <w:pStyle w:val="NormalWeb"/>
        <w:spacing w:before="0" w:beforeAutospacing="0" w:after="0" w:afterAutospacing="0" w:line="480" w:lineRule="auto"/>
        <w:jc w:val="center"/>
        <w:rPr>
          <w:color w:val="0E101A"/>
        </w:rPr>
      </w:pPr>
      <w:r w:rsidRPr="00E1177A">
        <w:rPr>
          <w:rStyle w:val="Strong"/>
          <w:color w:val="0E101A"/>
        </w:rPr>
        <w:t>International Financial Crimes</w:t>
      </w:r>
    </w:p>
    <w:p w14:paraId="6926FD8D" w14:textId="77777777" w:rsidR="00E1177A" w:rsidRPr="00E1177A" w:rsidRDefault="00E1177A" w:rsidP="00E1177A">
      <w:pPr>
        <w:pStyle w:val="NormalWeb"/>
        <w:spacing w:before="0" w:beforeAutospacing="0" w:after="0" w:afterAutospacing="0" w:line="480" w:lineRule="auto"/>
        <w:jc w:val="center"/>
        <w:rPr>
          <w:color w:val="0E101A"/>
        </w:rPr>
      </w:pPr>
    </w:p>
    <w:p w14:paraId="58C255E6" w14:textId="77777777" w:rsidR="00E1177A" w:rsidRPr="00E1177A" w:rsidRDefault="00E1177A" w:rsidP="00E1177A">
      <w:pPr>
        <w:pStyle w:val="NormalWeb"/>
        <w:spacing w:before="0" w:beforeAutospacing="0" w:after="0" w:afterAutospacing="0" w:line="480" w:lineRule="auto"/>
        <w:jc w:val="center"/>
        <w:rPr>
          <w:color w:val="0E101A"/>
        </w:rPr>
      </w:pPr>
      <w:r w:rsidRPr="00E1177A">
        <w:rPr>
          <w:color w:val="0E101A"/>
        </w:rPr>
        <w:t>Student’s Name</w:t>
      </w:r>
    </w:p>
    <w:p w14:paraId="326649B3" w14:textId="77777777" w:rsidR="00E1177A" w:rsidRPr="00E1177A" w:rsidRDefault="00E1177A" w:rsidP="00E1177A">
      <w:pPr>
        <w:pStyle w:val="NormalWeb"/>
        <w:spacing w:before="0" w:beforeAutospacing="0" w:after="0" w:afterAutospacing="0" w:line="480" w:lineRule="auto"/>
        <w:jc w:val="center"/>
        <w:rPr>
          <w:color w:val="0E101A"/>
        </w:rPr>
      </w:pPr>
      <w:r w:rsidRPr="00E1177A">
        <w:rPr>
          <w:color w:val="0E101A"/>
        </w:rPr>
        <w:t>Institutional Affiliation</w:t>
      </w:r>
    </w:p>
    <w:p w14:paraId="19261625" w14:textId="77777777" w:rsidR="00E1177A" w:rsidRPr="00E1177A" w:rsidRDefault="00E1177A" w:rsidP="00E1177A">
      <w:pPr>
        <w:pStyle w:val="NormalWeb"/>
        <w:spacing w:before="0" w:beforeAutospacing="0" w:after="0" w:afterAutospacing="0" w:line="480" w:lineRule="auto"/>
        <w:jc w:val="center"/>
        <w:rPr>
          <w:color w:val="0E101A"/>
        </w:rPr>
      </w:pPr>
      <w:r w:rsidRPr="00E1177A">
        <w:rPr>
          <w:color w:val="0E101A"/>
        </w:rPr>
        <w:t>Professor</w:t>
      </w:r>
    </w:p>
    <w:p w14:paraId="652C532B" w14:textId="77777777" w:rsidR="00E1177A" w:rsidRPr="00E1177A" w:rsidRDefault="00E1177A" w:rsidP="00E1177A">
      <w:pPr>
        <w:pStyle w:val="NormalWeb"/>
        <w:spacing w:before="0" w:beforeAutospacing="0" w:after="0" w:afterAutospacing="0" w:line="480" w:lineRule="auto"/>
        <w:jc w:val="center"/>
        <w:rPr>
          <w:color w:val="0E101A"/>
        </w:rPr>
      </w:pPr>
      <w:r w:rsidRPr="00E1177A">
        <w:rPr>
          <w:color w:val="0E101A"/>
        </w:rPr>
        <w:t>Course</w:t>
      </w:r>
    </w:p>
    <w:p w14:paraId="707F8EA1" w14:textId="5AA35BE4" w:rsidR="00E1177A" w:rsidRDefault="00E1177A" w:rsidP="00E1177A">
      <w:pPr>
        <w:pStyle w:val="NormalWeb"/>
        <w:spacing w:before="0" w:beforeAutospacing="0" w:after="0" w:afterAutospacing="0" w:line="480" w:lineRule="auto"/>
        <w:jc w:val="center"/>
        <w:rPr>
          <w:color w:val="0E101A"/>
        </w:rPr>
      </w:pPr>
      <w:r w:rsidRPr="00E1177A">
        <w:rPr>
          <w:color w:val="0E101A"/>
        </w:rPr>
        <w:t>Date</w:t>
      </w:r>
    </w:p>
    <w:p w14:paraId="48092BA5" w14:textId="22DC2F69" w:rsidR="00E1177A" w:rsidRDefault="00E1177A" w:rsidP="00E1177A">
      <w:pPr>
        <w:pStyle w:val="NormalWeb"/>
        <w:spacing w:before="0" w:beforeAutospacing="0" w:after="0" w:afterAutospacing="0" w:line="480" w:lineRule="auto"/>
        <w:jc w:val="center"/>
        <w:rPr>
          <w:color w:val="0E101A"/>
        </w:rPr>
      </w:pPr>
    </w:p>
    <w:p w14:paraId="74139A25" w14:textId="2F0D76D4" w:rsidR="00E1177A" w:rsidRDefault="00E1177A" w:rsidP="00E1177A">
      <w:pPr>
        <w:pStyle w:val="NormalWeb"/>
        <w:spacing w:before="0" w:beforeAutospacing="0" w:after="0" w:afterAutospacing="0" w:line="480" w:lineRule="auto"/>
        <w:jc w:val="center"/>
        <w:rPr>
          <w:color w:val="0E101A"/>
        </w:rPr>
      </w:pPr>
    </w:p>
    <w:p w14:paraId="32946062" w14:textId="01426061" w:rsidR="00E1177A" w:rsidRDefault="00E1177A" w:rsidP="00E1177A">
      <w:pPr>
        <w:pStyle w:val="NormalWeb"/>
        <w:spacing w:before="0" w:beforeAutospacing="0" w:after="0" w:afterAutospacing="0" w:line="480" w:lineRule="auto"/>
        <w:jc w:val="center"/>
        <w:rPr>
          <w:color w:val="0E101A"/>
        </w:rPr>
      </w:pPr>
    </w:p>
    <w:p w14:paraId="6A78155E" w14:textId="1BD8B6D4" w:rsidR="00E1177A" w:rsidRDefault="00E1177A" w:rsidP="00E1177A">
      <w:pPr>
        <w:pStyle w:val="NormalWeb"/>
        <w:spacing w:before="0" w:beforeAutospacing="0" w:after="0" w:afterAutospacing="0" w:line="480" w:lineRule="auto"/>
        <w:jc w:val="center"/>
        <w:rPr>
          <w:color w:val="0E101A"/>
        </w:rPr>
      </w:pPr>
    </w:p>
    <w:p w14:paraId="63EAB5BC" w14:textId="3E4ADB84" w:rsidR="00E1177A" w:rsidRDefault="00E1177A" w:rsidP="00E1177A">
      <w:pPr>
        <w:pStyle w:val="NormalWeb"/>
        <w:spacing w:before="0" w:beforeAutospacing="0" w:after="0" w:afterAutospacing="0" w:line="480" w:lineRule="auto"/>
        <w:jc w:val="center"/>
        <w:rPr>
          <w:color w:val="0E101A"/>
        </w:rPr>
      </w:pPr>
    </w:p>
    <w:p w14:paraId="58D43835" w14:textId="607D409D" w:rsidR="00E1177A" w:rsidRDefault="00E1177A" w:rsidP="00E1177A">
      <w:pPr>
        <w:pStyle w:val="NormalWeb"/>
        <w:spacing w:before="0" w:beforeAutospacing="0" w:after="0" w:afterAutospacing="0" w:line="480" w:lineRule="auto"/>
        <w:jc w:val="center"/>
        <w:rPr>
          <w:color w:val="0E101A"/>
        </w:rPr>
      </w:pPr>
    </w:p>
    <w:p w14:paraId="4024AE70" w14:textId="5A44CBA3" w:rsidR="00E1177A" w:rsidRDefault="00E1177A" w:rsidP="00E1177A">
      <w:pPr>
        <w:pStyle w:val="NormalWeb"/>
        <w:spacing w:before="0" w:beforeAutospacing="0" w:after="0" w:afterAutospacing="0" w:line="480" w:lineRule="auto"/>
        <w:jc w:val="center"/>
        <w:rPr>
          <w:color w:val="0E101A"/>
        </w:rPr>
      </w:pPr>
    </w:p>
    <w:p w14:paraId="1C451AF6" w14:textId="222814AE" w:rsidR="00E1177A" w:rsidRDefault="00E1177A" w:rsidP="00E1177A">
      <w:pPr>
        <w:pStyle w:val="NormalWeb"/>
        <w:spacing w:before="0" w:beforeAutospacing="0" w:after="0" w:afterAutospacing="0" w:line="480" w:lineRule="auto"/>
        <w:jc w:val="center"/>
        <w:rPr>
          <w:color w:val="0E101A"/>
        </w:rPr>
      </w:pPr>
    </w:p>
    <w:p w14:paraId="76AE0B5C" w14:textId="0DF6B273" w:rsidR="00E1177A" w:rsidRDefault="00E1177A" w:rsidP="00E1177A">
      <w:pPr>
        <w:pStyle w:val="NormalWeb"/>
        <w:spacing w:before="0" w:beforeAutospacing="0" w:after="0" w:afterAutospacing="0" w:line="480" w:lineRule="auto"/>
        <w:jc w:val="center"/>
        <w:rPr>
          <w:color w:val="0E101A"/>
        </w:rPr>
      </w:pPr>
    </w:p>
    <w:p w14:paraId="4C289A27" w14:textId="4CAEA2BC" w:rsidR="00E1177A" w:rsidRDefault="00E1177A" w:rsidP="00E1177A">
      <w:pPr>
        <w:pStyle w:val="NormalWeb"/>
        <w:spacing w:before="0" w:beforeAutospacing="0" w:after="0" w:afterAutospacing="0" w:line="480" w:lineRule="auto"/>
        <w:jc w:val="center"/>
        <w:rPr>
          <w:color w:val="0E101A"/>
        </w:rPr>
      </w:pPr>
    </w:p>
    <w:p w14:paraId="62A5D498" w14:textId="0ED9C44E" w:rsidR="00E1177A" w:rsidRDefault="00E1177A" w:rsidP="00E1177A">
      <w:pPr>
        <w:pStyle w:val="NormalWeb"/>
        <w:spacing w:before="0" w:beforeAutospacing="0" w:after="0" w:afterAutospacing="0" w:line="480" w:lineRule="auto"/>
        <w:jc w:val="center"/>
        <w:rPr>
          <w:color w:val="0E101A"/>
        </w:rPr>
      </w:pPr>
    </w:p>
    <w:p w14:paraId="534CAC31" w14:textId="77777777" w:rsidR="00E1177A" w:rsidRPr="00E1177A" w:rsidRDefault="00E1177A" w:rsidP="00E1177A">
      <w:pPr>
        <w:pStyle w:val="NormalWeb"/>
        <w:spacing w:before="0" w:beforeAutospacing="0" w:after="0" w:afterAutospacing="0" w:line="480" w:lineRule="auto"/>
        <w:jc w:val="center"/>
        <w:rPr>
          <w:color w:val="0E101A"/>
        </w:rPr>
      </w:pPr>
    </w:p>
    <w:p w14:paraId="29F0FDC5" w14:textId="5AA72F40" w:rsidR="00E1177A" w:rsidRPr="00E1177A" w:rsidRDefault="00E1177A" w:rsidP="00E1177A">
      <w:pPr>
        <w:spacing w:after="0" w:line="480" w:lineRule="auto"/>
        <w:jc w:val="center"/>
        <w:rPr>
          <w:rFonts w:ascii="Times New Roman" w:hAnsi="Times New Roman" w:cs="Times New Roman"/>
          <w:b/>
          <w:bCs/>
          <w:color w:val="222222"/>
          <w:sz w:val="24"/>
          <w:szCs w:val="24"/>
          <w:shd w:val="clear" w:color="auto" w:fill="FFFFFF"/>
        </w:rPr>
      </w:pPr>
      <w:r w:rsidRPr="00E1177A">
        <w:rPr>
          <w:rFonts w:ascii="Times New Roman" w:hAnsi="Times New Roman" w:cs="Times New Roman"/>
          <w:b/>
          <w:bCs/>
          <w:color w:val="222222"/>
          <w:sz w:val="24"/>
          <w:szCs w:val="24"/>
          <w:shd w:val="clear" w:color="auto" w:fill="FFFFFF"/>
        </w:rPr>
        <w:lastRenderedPageBreak/>
        <w:t>International Financial Crimes</w:t>
      </w:r>
    </w:p>
    <w:p w14:paraId="271F920F" w14:textId="48F2E967" w:rsidR="00EF2290" w:rsidRPr="00E1177A" w:rsidRDefault="00F41D9A" w:rsidP="00E1177A">
      <w:pPr>
        <w:spacing w:after="0" w:line="480" w:lineRule="auto"/>
        <w:rPr>
          <w:rFonts w:ascii="Times New Roman" w:hAnsi="Times New Roman" w:cs="Times New Roman"/>
          <w:b/>
          <w:bCs/>
          <w:color w:val="222222"/>
          <w:sz w:val="24"/>
          <w:szCs w:val="24"/>
          <w:shd w:val="clear" w:color="auto" w:fill="FFFFFF"/>
        </w:rPr>
      </w:pPr>
      <w:r w:rsidRPr="00E1177A">
        <w:rPr>
          <w:rFonts w:ascii="Times New Roman" w:hAnsi="Times New Roman" w:cs="Times New Roman"/>
          <w:b/>
          <w:bCs/>
          <w:color w:val="222222"/>
          <w:sz w:val="24"/>
          <w:szCs w:val="24"/>
          <w:shd w:val="clear" w:color="auto" w:fill="FFFFFF"/>
        </w:rPr>
        <w:t>Roberge, I. (2011). Financial action task force. </w:t>
      </w:r>
      <w:r w:rsidRPr="00E1177A">
        <w:rPr>
          <w:rFonts w:ascii="Times New Roman" w:hAnsi="Times New Roman" w:cs="Times New Roman"/>
          <w:b/>
          <w:bCs/>
          <w:i/>
          <w:iCs/>
          <w:color w:val="222222"/>
          <w:sz w:val="24"/>
          <w:szCs w:val="24"/>
          <w:shd w:val="clear" w:color="auto" w:fill="FFFFFF"/>
        </w:rPr>
        <w:t>Handbook of Transnational Governance: Institutions and Innovations</w:t>
      </w:r>
      <w:r w:rsidRPr="00E1177A">
        <w:rPr>
          <w:rFonts w:ascii="Times New Roman" w:hAnsi="Times New Roman" w:cs="Times New Roman"/>
          <w:b/>
          <w:bCs/>
          <w:color w:val="222222"/>
          <w:sz w:val="24"/>
          <w:szCs w:val="24"/>
          <w:shd w:val="clear" w:color="auto" w:fill="FFFFFF"/>
        </w:rPr>
        <w:t>, 45-49.</w:t>
      </w:r>
    </w:p>
    <w:p w14:paraId="480CD172" w14:textId="77777777" w:rsid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The article by Ian Roberge examines the definition, origin, and history of FAFT. Ian states that FAFT was created in 1989 which has made a significant contribution to political governance globally. FAFT is a principal organization that deals with money laundering and terrorism at the international level. In 1990, the organization explained forty recommendations that were established to curb money laundering, and in 2001, nine recommendations were elaborated to tackle terrorist financing. The article specifies four compliance mechanisms that were recommended by the federal government. They include self-assessment, mutual evaluation, cross-country reviews, and ‘name and shame’ strategy (Roberge, 2011). The self-assessment mechanism is when states provide answered questionnaires stating their progress in fighting illicit finance. Mutual evaluation is a process where FATF assessors determine a member’s level of compliance against illegal financing. </w:t>
      </w:r>
    </w:p>
    <w:p w14:paraId="29EF3283" w14:textId="3F76B50F" w:rsidR="00E1177A" w:rsidRP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Cross-country reviews are used for supervising the implementation of any recommendation in any state. The Name and shame strategy uses force in form of public admonition to ensure states reform laundering systems that will be able to detect illegal transactions.  Ian believes the organization is flexible since it allows quick action to be considered when necessary. He believes FATF operates as a discussion forum that deals with facilitating innovation and diffusion of policies. The main limitation of the article is that it does not specify the 40+9 recommendations that are used for global governance. The usefulness of the article is that it lists the strengths and weaknesses of the organization in a broad way. Although the recommendations are not specified, the strengths and drawbacks included in the article, are important since it creates a clear picture on the organization. With the relevant information provided, members can make the right decisions on the fight against money laundering and financing terrorist groups. </w:t>
      </w:r>
    </w:p>
    <w:p w14:paraId="56AB8685" w14:textId="77777777" w:rsidR="00E1177A" w:rsidRPr="00E1177A" w:rsidRDefault="00E1177A" w:rsidP="00E1177A">
      <w:pPr>
        <w:spacing w:after="0" w:line="480" w:lineRule="auto"/>
        <w:rPr>
          <w:rFonts w:ascii="Times New Roman" w:hAnsi="Times New Roman" w:cs="Times New Roman"/>
          <w:color w:val="222222"/>
          <w:sz w:val="24"/>
          <w:szCs w:val="24"/>
          <w:shd w:val="clear" w:color="auto" w:fill="FFFFFF"/>
        </w:rPr>
      </w:pPr>
    </w:p>
    <w:p w14:paraId="593D1FA3" w14:textId="42411ABC" w:rsidR="00E6127D" w:rsidRPr="00E1177A" w:rsidRDefault="00E6127D" w:rsidP="00E1177A">
      <w:pPr>
        <w:spacing w:after="0" w:line="480" w:lineRule="auto"/>
        <w:rPr>
          <w:rFonts w:ascii="Times New Roman" w:hAnsi="Times New Roman" w:cs="Times New Roman"/>
          <w:b/>
          <w:bCs/>
          <w:color w:val="000000"/>
          <w:sz w:val="24"/>
          <w:szCs w:val="24"/>
          <w:shd w:val="clear" w:color="auto" w:fill="FFFFFF"/>
        </w:rPr>
      </w:pPr>
      <w:r w:rsidRPr="00E1177A">
        <w:rPr>
          <w:rFonts w:ascii="Times New Roman" w:hAnsi="Times New Roman" w:cs="Times New Roman"/>
          <w:b/>
          <w:bCs/>
          <w:i/>
          <w:iCs/>
          <w:color w:val="000000"/>
          <w:sz w:val="24"/>
          <w:szCs w:val="24"/>
          <w:shd w:val="clear" w:color="auto" w:fill="FFFFFF"/>
        </w:rPr>
        <w:t>The Financial Action Task Force | FinCEN.gov</w:t>
      </w:r>
      <w:r w:rsidRPr="00E1177A">
        <w:rPr>
          <w:rFonts w:ascii="Times New Roman" w:hAnsi="Times New Roman" w:cs="Times New Roman"/>
          <w:b/>
          <w:bCs/>
          <w:color w:val="000000"/>
          <w:sz w:val="24"/>
          <w:szCs w:val="24"/>
          <w:shd w:val="clear" w:color="auto" w:fill="FFFFFF"/>
        </w:rPr>
        <w:t xml:space="preserve">. Fincen.gov. (2021). Retrieved 5 February 2021, from </w:t>
      </w:r>
      <w:hyperlink r:id="rId7" w:history="1">
        <w:r w:rsidR="00411840" w:rsidRPr="00E1177A">
          <w:rPr>
            <w:rStyle w:val="Hyperlink"/>
            <w:rFonts w:ascii="Times New Roman" w:hAnsi="Times New Roman" w:cs="Times New Roman"/>
            <w:b/>
            <w:bCs/>
            <w:sz w:val="24"/>
            <w:szCs w:val="24"/>
            <w:shd w:val="clear" w:color="auto" w:fill="FFFFFF"/>
          </w:rPr>
          <w:t>https://www.fincen.gov/resources/international/financial-action-task-force</w:t>
        </w:r>
      </w:hyperlink>
      <w:r w:rsidRPr="00E1177A">
        <w:rPr>
          <w:rFonts w:ascii="Times New Roman" w:hAnsi="Times New Roman" w:cs="Times New Roman"/>
          <w:b/>
          <w:bCs/>
          <w:color w:val="000000"/>
          <w:sz w:val="24"/>
          <w:szCs w:val="24"/>
          <w:shd w:val="clear" w:color="auto" w:fill="FFFFFF"/>
        </w:rPr>
        <w:t>.</w:t>
      </w:r>
    </w:p>
    <w:p w14:paraId="5FD5C3E0" w14:textId="77777777" w:rsid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The article done by the finance department of the government explained the definition and changes made on recommendations establish to handle illegal financing. The article states the structure of membership of the organization and its territories. The organization membership consists of 32 countries and territories, and two organizations in the region. According to the scholarly article, the organization not only set standards to combat terrorist financing and money laundering but also proliferation finance. The revised recommendations issued by the government includes a set of measures that ensures they win their fight. These measures include preventive measures taken by financial institutions, measures that ensure transparency to legal arrangements, establishing competent authorities that have appropriate functions, and mechanisms that maximize the cooperation of other countries </w:t>
      </w:r>
      <w:r w:rsidRPr="00E1177A">
        <w:rPr>
          <w:rFonts w:ascii="Times New Roman" w:hAnsi="Times New Roman" w:cs="Times New Roman"/>
          <w:color w:val="000000"/>
          <w:sz w:val="24"/>
          <w:szCs w:val="24"/>
          <w:shd w:val="clear" w:color="auto" w:fill="FFFFFF"/>
        </w:rPr>
        <w:t>("The Financial Action Task Force | FinCEN.gov", 2021</w:t>
      </w:r>
      <w:r w:rsidRPr="00E1177A">
        <w:rPr>
          <w:rFonts w:ascii="Times New Roman" w:hAnsi="Times New Roman" w:cs="Times New Roman"/>
          <w:color w:val="222222"/>
          <w:sz w:val="24"/>
          <w:szCs w:val="24"/>
          <w:shd w:val="clear" w:color="auto" w:fill="FFFFFF"/>
        </w:rPr>
        <w:t xml:space="preserve">). The revised recommendation has strengthened standards in some areas, the include tax offenses, the responsibilities of law enforcement, tax offenses are considered to be part of money laundering, enhancement of wire transfer, and supervision of a financial group is elaborated. </w:t>
      </w:r>
    </w:p>
    <w:p w14:paraId="7B493347" w14:textId="2ECBE9D1" w:rsidR="00E1177A" w:rsidRP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There are six areas where the principal organization, FATF, focuses on with the intention to reduce abuse of financial systems and crimes. These areas are FATF recommendations, non-cooperative jurisdictions, mutual evaluations, methods and trends, corruption, and proliferation of finances. The main functions of the organization are to develop international standards to combat financial crimes, promote the implementation of recommendations in all countries through a global network, and responds to significant threats. The main limitation of this article is that it does not explain how countries have progressed in fighting financial crimes. The usefulness of the article is that it provides standards and measures the organization uses to fulfill its goal of combating money laundering. </w:t>
      </w:r>
    </w:p>
    <w:p w14:paraId="6EC30591" w14:textId="77777777" w:rsidR="00E1177A" w:rsidRDefault="00E1177A" w:rsidP="00E1177A">
      <w:pPr>
        <w:spacing w:after="0" w:line="480" w:lineRule="auto"/>
        <w:rPr>
          <w:rFonts w:ascii="Times New Roman" w:hAnsi="Times New Roman" w:cs="Times New Roman"/>
          <w:color w:val="222222"/>
          <w:sz w:val="24"/>
          <w:szCs w:val="24"/>
          <w:shd w:val="clear" w:color="auto" w:fill="FFFFFF"/>
        </w:rPr>
      </w:pPr>
    </w:p>
    <w:p w14:paraId="0DA7F3AD" w14:textId="26C8571F" w:rsidR="00496655" w:rsidRPr="00E1177A" w:rsidRDefault="002D033A" w:rsidP="00E1177A">
      <w:pPr>
        <w:spacing w:after="0" w:line="480" w:lineRule="auto"/>
        <w:rPr>
          <w:rFonts w:ascii="Times New Roman" w:hAnsi="Times New Roman" w:cs="Times New Roman"/>
          <w:b/>
          <w:bCs/>
          <w:color w:val="222222"/>
          <w:sz w:val="24"/>
          <w:szCs w:val="24"/>
          <w:shd w:val="clear" w:color="auto" w:fill="FFFFFF"/>
        </w:rPr>
      </w:pPr>
      <w:r w:rsidRPr="00E1177A">
        <w:rPr>
          <w:rFonts w:ascii="Times New Roman" w:hAnsi="Times New Roman" w:cs="Times New Roman"/>
          <w:b/>
          <w:bCs/>
          <w:color w:val="222222"/>
          <w:sz w:val="24"/>
          <w:szCs w:val="24"/>
          <w:shd w:val="clear" w:color="auto" w:fill="FFFFFF"/>
        </w:rPr>
        <w:t>Nance, M. T. (2018). The regime that FATF built: an introduction to the Financial Action Task Force. </w:t>
      </w:r>
      <w:r w:rsidRPr="00E1177A">
        <w:rPr>
          <w:rFonts w:ascii="Times New Roman" w:hAnsi="Times New Roman" w:cs="Times New Roman"/>
          <w:b/>
          <w:bCs/>
          <w:i/>
          <w:iCs/>
          <w:color w:val="222222"/>
          <w:sz w:val="24"/>
          <w:szCs w:val="24"/>
          <w:shd w:val="clear" w:color="auto" w:fill="FFFFFF"/>
        </w:rPr>
        <w:t>Crime, Law and Social Change</w:t>
      </w:r>
      <w:r w:rsidRPr="00E1177A">
        <w:rPr>
          <w:rFonts w:ascii="Times New Roman" w:hAnsi="Times New Roman" w:cs="Times New Roman"/>
          <w:b/>
          <w:bCs/>
          <w:color w:val="222222"/>
          <w:sz w:val="24"/>
          <w:szCs w:val="24"/>
          <w:shd w:val="clear" w:color="auto" w:fill="FFFFFF"/>
        </w:rPr>
        <w:t>, </w:t>
      </w:r>
      <w:r w:rsidRPr="00E1177A">
        <w:rPr>
          <w:rFonts w:ascii="Times New Roman" w:hAnsi="Times New Roman" w:cs="Times New Roman"/>
          <w:b/>
          <w:bCs/>
          <w:i/>
          <w:iCs/>
          <w:color w:val="222222"/>
          <w:sz w:val="24"/>
          <w:szCs w:val="24"/>
          <w:shd w:val="clear" w:color="auto" w:fill="FFFFFF"/>
        </w:rPr>
        <w:t>69</w:t>
      </w:r>
      <w:r w:rsidRPr="00E1177A">
        <w:rPr>
          <w:rFonts w:ascii="Times New Roman" w:hAnsi="Times New Roman" w:cs="Times New Roman"/>
          <w:b/>
          <w:bCs/>
          <w:color w:val="222222"/>
          <w:sz w:val="24"/>
          <w:szCs w:val="24"/>
          <w:shd w:val="clear" w:color="auto" w:fill="FFFFFF"/>
        </w:rPr>
        <w:t>(2), 109-129.</w:t>
      </w:r>
    </w:p>
    <w:p w14:paraId="4B51E73F" w14:textId="77777777" w:rsid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The article by Mark Nance elaborates the purpose of FATF and introduces crime, social change, and law on the organization. Consequently, the article proposes themes that practitioners should consider in their research. The organization not only describes and analyses the FATF standards but also criticizes them and established a regime. Illicit political economy is considered part of social sciences which requires a multi-disciplinary approach. The approach will prevent a narrative on FATF and the anti-money laundering regime. “Today’s fast-moving, increasingly global financial system could have the same effect because money moves faster than those tracking it” (Nance, 2018). Thus, a small country that has an underdeveloped financial system poses a significant challenge to states seeking to oversee the international financial systems. </w:t>
      </w:r>
    </w:p>
    <w:p w14:paraId="353690D2" w14:textId="15512D24" w:rsid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 xml:space="preserve">The fight against money laundering is a fundamental challenge that affects illicit markets. Today, most countries use a globalized financial system to move money around easily hence established a fight against illicit transactions can be handle in an effective and efficient way. A new methodology in evaluating state's compliance in implementing FATF recommendations was established in 2013 ad comprised of two components, they include technical compliance assessment and effectiveness assessment. Technical compliance assessment addresses the recommendations as they are related to a country’s legal and constitutional framework. Effectiveness assessments assess the level a country achieves specified outcomes regarding their anti-money laundering systems. The concern about the illicit money transactions in the 1980s through narcotics trafficking. Therefore, the federal government of the United States was the first state to criminalize money laundering (Nance, 2018). The main limitation of this article is that despite the importance level of a multi-level regime of tackling money laundering. The usefulness of the article is that it shows the relevance of the regime built and presents questions and answers academics should consider when researching in the future. In conclusion, Mark believes that states should ensure the laws of financial institutions do not inhibit implementation of the FATF recommendation as per the 40+9 recommendation standards. </w:t>
      </w:r>
    </w:p>
    <w:p w14:paraId="663D8B67" w14:textId="77777777" w:rsidR="00E1177A" w:rsidRDefault="00E1177A" w:rsidP="00E1177A">
      <w:pPr>
        <w:spacing w:after="0" w:line="480" w:lineRule="auto"/>
        <w:ind w:firstLine="720"/>
        <w:rPr>
          <w:rFonts w:ascii="Times New Roman" w:hAnsi="Times New Roman" w:cs="Times New Roman"/>
          <w:color w:val="222222"/>
          <w:sz w:val="24"/>
          <w:szCs w:val="24"/>
          <w:shd w:val="clear" w:color="auto" w:fill="FFFFFF"/>
        </w:rPr>
      </w:pPr>
    </w:p>
    <w:p w14:paraId="4FF7AA74" w14:textId="2021368D" w:rsidR="00E1177A" w:rsidRPr="00E1177A" w:rsidRDefault="002D033A" w:rsidP="00E1177A">
      <w:pPr>
        <w:spacing w:after="0" w:line="480" w:lineRule="auto"/>
        <w:rPr>
          <w:rFonts w:ascii="Times New Roman" w:hAnsi="Times New Roman" w:cs="Times New Roman"/>
          <w:b/>
          <w:bCs/>
          <w:color w:val="222222"/>
          <w:sz w:val="24"/>
          <w:szCs w:val="24"/>
          <w:shd w:val="clear" w:color="auto" w:fill="FFFFFF"/>
        </w:rPr>
      </w:pPr>
      <w:r w:rsidRPr="00E1177A">
        <w:rPr>
          <w:rFonts w:ascii="Times New Roman" w:hAnsi="Times New Roman" w:cs="Times New Roman"/>
          <w:b/>
          <w:bCs/>
          <w:color w:val="222222"/>
          <w:sz w:val="24"/>
          <w:szCs w:val="24"/>
          <w:shd w:val="clear" w:color="auto" w:fill="FFFFFF"/>
        </w:rPr>
        <w:t>Alexander, K. (2001). The International Anti‐Money‐Laundering Regime: The Role of the Financial Action Task Force. </w:t>
      </w:r>
      <w:r w:rsidRPr="00E1177A">
        <w:rPr>
          <w:rFonts w:ascii="Times New Roman" w:hAnsi="Times New Roman" w:cs="Times New Roman"/>
          <w:b/>
          <w:bCs/>
          <w:i/>
          <w:iCs/>
          <w:color w:val="222222"/>
          <w:sz w:val="24"/>
          <w:szCs w:val="24"/>
          <w:shd w:val="clear" w:color="auto" w:fill="FFFFFF"/>
        </w:rPr>
        <w:t>Journal of Money Laundering Control</w:t>
      </w:r>
      <w:r w:rsidRPr="00E1177A">
        <w:rPr>
          <w:rFonts w:ascii="Times New Roman" w:hAnsi="Times New Roman" w:cs="Times New Roman"/>
          <w:b/>
          <w:bCs/>
          <w:color w:val="222222"/>
          <w:sz w:val="24"/>
          <w:szCs w:val="24"/>
          <w:shd w:val="clear" w:color="auto" w:fill="FFFFFF"/>
        </w:rPr>
        <w:t>.</w:t>
      </w:r>
    </w:p>
    <w:p w14:paraId="02BE8A04" w14:textId="28E20D08" w:rsidR="00A3569D" w:rsidRPr="00E1177A" w:rsidRDefault="00E1177A" w:rsidP="00E1177A">
      <w:pPr>
        <w:spacing w:after="0" w:line="480" w:lineRule="auto"/>
        <w:ind w:firstLine="720"/>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This article by Alexander examines the main role of the Financial Action Task Force in the anti-money laundering regime. The articles analyze rules principles and standards that are implemented to reduce international financial crimes. The rules and principles incorporate voluntary arrangements involved in the legal framework in major countries. The main reason FATF is focusing on money laundering is how criminal groups are facilitating their transaction using financial institutions to fund their illegal activities (Alexander, 2001). It is the role of the task force to track all financial activities and analyze any criminal acts. Through this approach, the task force will be able to combat criminal acts. According to Alexander, anti-money laundering (AML) compliance has improved recently through advanced technology, the openness of trade, and quality regulation. These concepts have impacted greatly on the size and speed of economic growth and development in several states. One limitation of this article is that it does not explain how the AML compliance of states has progressed over the year. Meanwhile, the usefulness of the article is that it gives a clear indication of the role of the task force in curbing financial crimes.</w:t>
      </w:r>
    </w:p>
    <w:p w14:paraId="0D620A77"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5A602A2B"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1CEA69D2"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252BC9BA"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CC203B8"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6D5172DC"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4D9806A6"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37669FFF"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5EA9684"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F82ED59"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7CB3A9D"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3E71D164"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1516A95B"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3C8AAE01"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17E4748F"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02C1F1DD"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083CAF3"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2B3C5E80" w14:textId="77777777" w:rsidR="00E1177A" w:rsidRDefault="00E1177A" w:rsidP="00E1177A">
      <w:pPr>
        <w:spacing w:after="0" w:line="480" w:lineRule="auto"/>
        <w:jc w:val="center"/>
        <w:rPr>
          <w:rFonts w:ascii="Times New Roman" w:hAnsi="Times New Roman" w:cs="Times New Roman"/>
          <w:color w:val="222222"/>
          <w:sz w:val="24"/>
          <w:szCs w:val="24"/>
          <w:shd w:val="clear" w:color="auto" w:fill="FFFFFF"/>
        </w:rPr>
      </w:pPr>
    </w:p>
    <w:p w14:paraId="722DE0F3" w14:textId="0B0DCB49" w:rsidR="00E1177A" w:rsidRPr="00E1177A" w:rsidRDefault="00E1177A" w:rsidP="00E1177A">
      <w:pPr>
        <w:spacing w:after="0" w:line="480" w:lineRule="auto"/>
        <w:jc w:val="center"/>
        <w:rPr>
          <w:rFonts w:ascii="Times New Roman" w:hAnsi="Times New Roman" w:cs="Times New Roman"/>
          <w:color w:val="222222"/>
          <w:sz w:val="24"/>
          <w:szCs w:val="24"/>
          <w:shd w:val="clear" w:color="auto" w:fill="FFFFFF"/>
        </w:rPr>
      </w:pPr>
      <w:r w:rsidRPr="00E1177A">
        <w:rPr>
          <w:rFonts w:ascii="Times New Roman" w:hAnsi="Times New Roman" w:cs="Times New Roman"/>
          <w:color w:val="222222"/>
          <w:sz w:val="24"/>
          <w:szCs w:val="24"/>
          <w:shd w:val="clear" w:color="auto" w:fill="FFFFFF"/>
        </w:rPr>
        <w:t>References</w:t>
      </w:r>
    </w:p>
    <w:p w14:paraId="2243619B" w14:textId="77777777" w:rsidR="00E1177A" w:rsidRPr="00E1177A" w:rsidRDefault="00E1177A" w:rsidP="00E1177A">
      <w:pPr>
        <w:pStyle w:val="NormalWeb"/>
        <w:spacing w:before="0" w:beforeAutospacing="0" w:after="0" w:afterAutospacing="0" w:line="480" w:lineRule="auto"/>
        <w:rPr>
          <w:color w:val="0E101A"/>
        </w:rPr>
      </w:pPr>
      <w:r w:rsidRPr="00E1177A">
        <w:rPr>
          <w:color w:val="0E101A"/>
        </w:rPr>
        <w:t>Alexander, K. (2001). The International Anti‐Money‐Laundering Regime: The Role of the</w:t>
      </w:r>
      <w:r>
        <w:rPr>
          <w:color w:val="0E101A"/>
        </w:rPr>
        <w:tab/>
      </w:r>
      <w:r w:rsidRPr="00E1177A">
        <w:rPr>
          <w:color w:val="0E101A"/>
        </w:rPr>
        <w:t>Financial Action Task Force. </w:t>
      </w:r>
      <w:r w:rsidRPr="00E1177A">
        <w:rPr>
          <w:rStyle w:val="Emphasis"/>
          <w:color w:val="0E101A"/>
        </w:rPr>
        <w:t>Journal of Money Laundering Control</w:t>
      </w:r>
      <w:r w:rsidRPr="00E1177A">
        <w:rPr>
          <w:color w:val="0E101A"/>
        </w:rPr>
        <w:t>.</w:t>
      </w:r>
    </w:p>
    <w:p w14:paraId="0E042984" w14:textId="77777777" w:rsidR="00E1177A" w:rsidRPr="00E1177A" w:rsidRDefault="00E1177A" w:rsidP="00E1177A">
      <w:pPr>
        <w:pStyle w:val="NormalWeb"/>
        <w:spacing w:before="0" w:beforeAutospacing="0" w:after="0" w:afterAutospacing="0" w:line="480" w:lineRule="auto"/>
        <w:rPr>
          <w:color w:val="0E101A"/>
        </w:rPr>
      </w:pPr>
      <w:r w:rsidRPr="00E1177A">
        <w:rPr>
          <w:color w:val="0E101A"/>
        </w:rPr>
        <w:t>Nance, M. T. (2018). The regime that FATF built: an introduction to the Financial Action Task</w:t>
      </w:r>
      <w:r>
        <w:rPr>
          <w:color w:val="0E101A"/>
        </w:rPr>
        <w:tab/>
      </w:r>
      <w:r w:rsidRPr="00E1177A">
        <w:rPr>
          <w:color w:val="0E101A"/>
        </w:rPr>
        <w:t>Force. </w:t>
      </w:r>
      <w:r w:rsidRPr="00E1177A">
        <w:rPr>
          <w:rStyle w:val="Emphasis"/>
          <w:color w:val="0E101A"/>
        </w:rPr>
        <w:t>Crime, Law and Social Change</w:t>
      </w:r>
      <w:r w:rsidRPr="00E1177A">
        <w:rPr>
          <w:color w:val="0E101A"/>
        </w:rPr>
        <w:t>, </w:t>
      </w:r>
      <w:r w:rsidRPr="00E1177A">
        <w:rPr>
          <w:rStyle w:val="Emphasis"/>
          <w:color w:val="0E101A"/>
        </w:rPr>
        <w:t>69</w:t>
      </w:r>
      <w:r w:rsidRPr="00E1177A">
        <w:rPr>
          <w:color w:val="0E101A"/>
        </w:rPr>
        <w:t>(2), 109-129.</w:t>
      </w:r>
    </w:p>
    <w:p w14:paraId="50B954E4" w14:textId="77777777" w:rsidR="00E1177A" w:rsidRPr="00E1177A" w:rsidRDefault="00E1177A" w:rsidP="00E1177A">
      <w:pPr>
        <w:pStyle w:val="NormalWeb"/>
        <w:spacing w:before="0" w:beforeAutospacing="0" w:after="0" w:afterAutospacing="0" w:line="480" w:lineRule="auto"/>
        <w:rPr>
          <w:color w:val="0E101A"/>
        </w:rPr>
      </w:pPr>
      <w:r w:rsidRPr="00E1177A">
        <w:rPr>
          <w:color w:val="0E101A"/>
        </w:rPr>
        <w:t>Roberge, I. (2011). Financial action task force. </w:t>
      </w:r>
      <w:r w:rsidRPr="00E1177A">
        <w:rPr>
          <w:rStyle w:val="Emphasis"/>
          <w:color w:val="0E101A"/>
        </w:rPr>
        <w:t>Handbook of Transnational Governance:</w:t>
      </w:r>
      <w:r>
        <w:rPr>
          <w:rStyle w:val="Emphasis"/>
          <w:color w:val="0E101A"/>
        </w:rPr>
        <w:tab/>
      </w:r>
      <w:r w:rsidRPr="00E1177A">
        <w:rPr>
          <w:rStyle w:val="Emphasis"/>
          <w:color w:val="0E101A"/>
        </w:rPr>
        <w:t>Institutions and Innovations</w:t>
      </w:r>
      <w:r w:rsidRPr="00E1177A">
        <w:rPr>
          <w:color w:val="0E101A"/>
        </w:rPr>
        <w:t>, 45-49.</w:t>
      </w:r>
    </w:p>
    <w:p w14:paraId="70FA818C" w14:textId="77777777" w:rsidR="00E1177A" w:rsidRPr="00E1177A" w:rsidRDefault="00E1177A" w:rsidP="00E1177A">
      <w:pPr>
        <w:pStyle w:val="NormalWeb"/>
        <w:spacing w:before="0" w:beforeAutospacing="0" w:after="0" w:afterAutospacing="0" w:line="480" w:lineRule="auto"/>
        <w:rPr>
          <w:color w:val="0E101A"/>
        </w:rPr>
      </w:pPr>
      <w:r w:rsidRPr="00E1177A">
        <w:rPr>
          <w:rStyle w:val="Emphasis"/>
          <w:color w:val="0E101A"/>
        </w:rPr>
        <w:t>The Financial Action Task Force | FinCEN.gov</w:t>
      </w:r>
      <w:r w:rsidRPr="00E1177A">
        <w:rPr>
          <w:color w:val="0E101A"/>
        </w:rPr>
        <w:t>. Fincen.gov. (2021). Retrieved 5 February 2021,</w:t>
      </w:r>
      <w:r>
        <w:rPr>
          <w:color w:val="0E101A"/>
        </w:rPr>
        <w:tab/>
      </w:r>
      <w:r w:rsidRPr="00E1177A">
        <w:rPr>
          <w:color w:val="0E101A"/>
        </w:rPr>
        <w:t>from </w:t>
      </w:r>
      <w:hyperlink r:id="rId8" w:tgtFrame="_blank" w:history="1">
        <w:r w:rsidRPr="00E1177A">
          <w:rPr>
            <w:rStyle w:val="Hyperlink"/>
            <w:color w:val="4A6EE0"/>
          </w:rPr>
          <w:t>https://www.fincen.gov/resources/international/financial-action-task-force</w:t>
        </w:r>
      </w:hyperlink>
      <w:r w:rsidRPr="00E1177A">
        <w:rPr>
          <w:color w:val="0E101A"/>
        </w:rPr>
        <w:t>.</w:t>
      </w:r>
    </w:p>
    <w:p w14:paraId="6A45420E" w14:textId="77777777" w:rsidR="00E1177A" w:rsidRPr="00E1177A" w:rsidRDefault="00E1177A" w:rsidP="00E1177A">
      <w:pPr>
        <w:spacing w:after="0" w:line="480" w:lineRule="auto"/>
        <w:rPr>
          <w:rFonts w:ascii="Times New Roman" w:hAnsi="Times New Roman" w:cs="Times New Roman"/>
          <w:sz w:val="24"/>
          <w:szCs w:val="24"/>
        </w:rPr>
      </w:pPr>
    </w:p>
    <w:sectPr w:rsidR="00E1177A" w:rsidRPr="00E1177A">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3BCE6" w14:textId="77777777" w:rsidR="00174A0A" w:rsidRDefault="00174A0A" w:rsidP="00E1177A">
      <w:pPr>
        <w:spacing w:after="0" w:line="240" w:lineRule="auto"/>
      </w:pPr>
      <w:r>
        <w:separator/>
      </w:r>
    </w:p>
  </w:endnote>
  <w:endnote w:type="continuationSeparator" w:id="0">
    <w:p w14:paraId="62CE7CE7" w14:textId="77777777" w:rsidR="00174A0A" w:rsidRDefault="00174A0A" w:rsidP="00E117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580DE7" w14:textId="77777777" w:rsidR="00174A0A" w:rsidRDefault="00174A0A" w:rsidP="00E1177A">
      <w:pPr>
        <w:spacing w:after="0" w:line="240" w:lineRule="auto"/>
      </w:pPr>
      <w:r>
        <w:separator/>
      </w:r>
    </w:p>
  </w:footnote>
  <w:footnote w:type="continuationSeparator" w:id="0">
    <w:p w14:paraId="0C01945B" w14:textId="77777777" w:rsidR="00174A0A" w:rsidRDefault="00174A0A" w:rsidP="00E117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47514822"/>
      <w:docPartObj>
        <w:docPartGallery w:val="Page Numbers (Top of Page)"/>
        <w:docPartUnique/>
      </w:docPartObj>
    </w:sdtPr>
    <w:sdtEndPr>
      <w:rPr>
        <w:noProof/>
      </w:rPr>
    </w:sdtEndPr>
    <w:sdtContent>
      <w:p w14:paraId="45BDF463" w14:textId="69699B76" w:rsidR="00E1177A" w:rsidRPr="00E1177A" w:rsidRDefault="00E1177A" w:rsidP="00E1177A">
        <w:pPr>
          <w:pStyle w:val="Header"/>
          <w:spacing w:line="480" w:lineRule="auto"/>
          <w:jc w:val="right"/>
          <w:rPr>
            <w:rFonts w:ascii="Times New Roman" w:hAnsi="Times New Roman" w:cs="Times New Roman"/>
            <w:sz w:val="24"/>
            <w:szCs w:val="24"/>
          </w:rPr>
        </w:pPr>
        <w:r w:rsidRPr="00E1177A">
          <w:rPr>
            <w:rFonts w:ascii="Times New Roman" w:hAnsi="Times New Roman" w:cs="Times New Roman"/>
            <w:sz w:val="24"/>
            <w:szCs w:val="24"/>
          </w:rPr>
          <w:fldChar w:fldCharType="begin"/>
        </w:r>
        <w:r w:rsidRPr="00E1177A">
          <w:rPr>
            <w:rFonts w:ascii="Times New Roman" w:hAnsi="Times New Roman" w:cs="Times New Roman"/>
            <w:sz w:val="24"/>
            <w:szCs w:val="24"/>
          </w:rPr>
          <w:instrText xml:space="preserve"> PAGE   \* MERGEFORMAT </w:instrText>
        </w:r>
        <w:r w:rsidRPr="00E1177A">
          <w:rPr>
            <w:rFonts w:ascii="Times New Roman" w:hAnsi="Times New Roman" w:cs="Times New Roman"/>
            <w:sz w:val="24"/>
            <w:szCs w:val="24"/>
          </w:rPr>
          <w:fldChar w:fldCharType="separate"/>
        </w:r>
        <w:r w:rsidR="00174A0A">
          <w:rPr>
            <w:rFonts w:ascii="Times New Roman" w:hAnsi="Times New Roman" w:cs="Times New Roman"/>
            <w:noProof/>
            <w:sz w:val="24"/>
            <w:szCs w:val="24"/>
          </w:rPr>
          <w:t>1</w:t>
        </w:r>
        <w:r w:rsidRPr="00E1177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69"/>
    <w:rsid w:val="00174A0A"/>
    <w:rsid w:val="001A45FE"/>
    <w:rsid w:val="002B6A69"/>
    <w:rsid w:val="002D033A"/>
    <w:rsid w:val="002F1840"/>
    <w:rsid w:val="003A2084"/>
    <w:rsid w:val="00411840"/>
    <w:rsid w:val="00496655"/>
    <w:rsid w:val="004A4FB2"/>
    <w:rsid w:val="004C2D57"/>
    <w:rsid w:val="005718CE"/>
    <w:rsid w:val="005801F8"/>
    <w:rsid w:val="007611B0"/>
    <w:rsid w:val="007F2FE1"/>
    <w:rsid w:val="008B2B7C"/>
    <w:rsid w:val="009637F7"/>
    <w:rsid w:val="009C058C"/>
    <w:rsid w:val="00A3569D"/>
    <w:rsid w:val="00AF51DA"/>
    <w:rsid w:val="00BE35CA"/>
    <w:rsid w:val="00E021F9"/>
    <w:rsid w:val="00E1177A"/>
    <w:rsid w:val="00E21014"/>
    <w:rsid w:val="00E375AB"/>
    <w:rsid w:val="00E6127D"/>
    <w:rsid w:val="00EA5310"/>
    <w:rsid w:val="00EF2290"/>
    <w:rsid w:val="00F41D9A"/>
    <w:rsid w:val="00F51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21F9"/>
    <w:rPr>
      <w:sz w:val="16"/>
      <w:szCs w:val="16"/>
    </w:rPr>
  </w:style>
  <w:style w:type="paragraph" w:styleId="CommentText">
    <w:name w:val="annotation text"/>
    <w:basedOn w:val="Normal"/>
    <w:link w:val="CommentTextChar"/>
    <w:uiPriority w:val="99"/>
    <w:semiHidden/>
    <w:unhideWhenUsed/>
    <w:rsid w:val="00E021F9"/>
    <w:pPr>
      <w:spacing w:line="240" w:lineRule="auto"/>
    </w:pPr>
    <w:rPr>
      <w:sz w:val="20"/>
      <w:szCs w:val="20"/>
    </w:rPr>
  </w:style>
  <w:style w:type="character" w:customStyle="1" w:styleId="CommentTextChar">
    <w:name w:val="Comment Text Char"/>
    <w:basedOn w:val="DefaultParagraphFont"/>
    <w:link w:val="CommentText"/>
    <w:uiPriority w:val="99"/>
    <w:semiHidden/>
    <w:rsid w:val="00E021F9"/>
    <w:rPr>
      <w:sz w:val="20"/>
      <w:szCs w:val="20"/>
    </w:rPr>
  </w:style>
  <w:style w:type="paragraph" w:styleId="CommentSubject">
    <w:name w:val="annotation subject"/>
    <w:basedOn w:val="CommentText"/>
    <w:next w:val="CommentText"/>
    <w:link w:val="CommentSubjectChar"/>
    <w:uiPriority w:val="99"/>
    <w:semiHidden/>
    <w:unhideWhenUsed/>
    <w:rsid w:val="00E021F9"/>
    <w:rPr>
      <w:b/>
      <w:bCs/>
    </w:rPr>
  </w:style>
  <w:style w:type="character" w:customStyle="1" w:styleId="CommentSubjectChar">
    <w:name w:val="Comment Subject Char"/>
    <w:basedOn w:val="CommentTextChar"/>
    <w:link w:val="CommentSubject"/>
    <w:uiPriority w:val="99"/>
    <w:semiHidden/>
    <w:rsid w:val="00E021F9"/>
    <w:rPr>
      <w:b/>
      <w:bCs/>
      <w:sz w:val="20"/>
      <w:szCs w:val="20"/>
    </w:rPr>
  </w:style>
  <w:style w:type="character" w:styleId="Hyperlink">
    <w:name w:val="Hyperlink"/>
    <w:basedOn w:val="DefaultParagraphFont"/>
    <w:uiPriority w:val="99"/>
    <w:unhideWhenUsed/>
    <w:rsid w:val="00411840"/>
    <w:rPr>
      <w:color w:val="0563C1" w:themeColor="hyperlink"/>
      <w:u w:val="single"/>
    </w:rPr>
  </w:style>
  <w:style w:type="character" w:customStyle="1" w:styleId="UnresolvedMention">
    <w:name w:val="Unresolved Mention"/>
    <w:basedOn w:val="DefaultParagraphFont"/>
    <w:uiPriority w:val="99"/>
    <w:semiHidden/>
    <w:unhideWhenUsed/>
    <w:rsid w:val="00411840"/>
    <w:rPr>
      <w:color w:val="605E5C"/>
      <w:shd w:val="clear" w:color="auto" w:fill="E1DFDD"/>
    </w:rPr>
  </w:style>
  <w:style w:type="paragraph" w:styleId="NormalWeb">
    <w:name w:val="Normal (Web)"/>
    <w:basedOn w:val="Normal"/>
    <w:uiPriority w:val="99"/>
    <w:semiHidden/>
    <w:unhideWhenUsed/>
    <w:rsid w:val="00E1177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E1177A"/>
    <w:rPr>
      <w:b/>
      <w:bCs/>
    </w:rPr>
  </w:style>
  <w:style w:type="paragraph" w:styleId="Header">
    <w:name w:val="header"/>
    <w:basedOn w:val="Normal"/>
    <w:link w:val="HeaderChar"/>
    <w:uiPriority w:val="99"/>
    <w:unhideWhenUsed/>
    <w:rsid w:val="00E11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7A"/>
  </w:style>
  <w:style w:type="paragraph" w:styleId="Footer">
    <w:name w:val="footer"/>
    <w:basedOn w:val="Normal"/>
    <w:link w:val="FooterChar"/>
    <w:uiPriority w:val="99"/>
    <w:unhideWhenUsed/>
    <w:rsid w:val="00E11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77A"/>
  </w:style>
  <w:style w:type="character" w:styleId="Emphasis">
    <w:name w:val="Emphasis"/>
    <w:basedOn w:val="DefaultParagraphFont"/>
    <w:uiPriority w:val="20"/>
    <w:qFormat/>
    <w:rsid w:val="00E1177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021F9"/>
    <w:rPr>
      <w:sz w:val="16"/>
      <w:szCs w:val="16"/>
    </w:rPr>
  </w:style>
  <w:style w:type="paragraph" w:styleId="CommentText">
    <w:name w:val="annotation text"/>
    <w:basedOn w:val="Normal"/>
    <w:link w:val="CommentTextChar"/>
    <w:uiPriority w:val="99"/>
    <w:semiHidden/>
    <w:unhideWhenUsed/>
    <w:rsid w:val="00E021F9"/>
    <w:pPr>
      <w:spacing w:line="240" w:lineRule="auto"/>
    </w:pPr>
    <w:rPr>
      <w:sz w:val="20"/>
      <w:szCs w:val="20"/>
    </w:rPr>
  </w:style>
  <w:style w:type="character" w:customStyle="1" w:styleId="CommentTextChar">
    <w:name w:val="Comment Text Char"/>
    <w:basedOn w:val="DefaultParagraphFont"/>
    <w:link w:val="CommentText"/>
    <w:uiPriority w:val="99"/>
    <w:semiHidden/>
    <w:rsid w:val="00E021F9"/>
    <w:rPr>
      <w:sz w:val="20"/>
      <w:szCs w:val="20"/>
    </w:rPr>
  </w:style>
  <w:style w:type="paragraph" w:styleId="CommentSubject">
    <w:name w:val="annotation subject"/>
    <w:basedOn w:val="CommentText"/>
    <w:next w:val="CommentText"/>
    <w:link w:val="CommentSubjectChar"/>
    <w:uiPriority w:val="99"/>
    <w:semiHidden/>
    <w:unhideWhenUsed/>
    <w:rsid w:val="00E021F9"/>
    <w:rPr>
      <w:b/>
      <w:bCs/>
    </w:rPr>
  </w:style>
  <w:style w:type="character" w:customStyle="1" w:styleId="CommentSubjectChar">
    <w:name w:val="Comment Subject Char"/>
    <w:basedOn w:val="CommentTextChar"/>
    <w:link w:val="CommentSubject"/>
    <w:uiPriority w:val="99"/>
    <w:semiHidden/>
    <w:rsid w:val="00E021F9"/>
    <w:rPr>
      <w:b/>
      <w:bCs/>
      <w:sz w:val="20"/>
      <w:szCs w:val="20"/>
    </w:rPr>
  </w:style>
  <w:style w:type="character" w:styleId="Hyperlink">
    <w:name w:val="Hyperlink"/>
    <w:basedOn w:val="DefaultParagraphFont"/>
    <w:uiPriority w:val="99"/>
    <w:unhideWhenUsed/>
    <w:rsid w:val="00411840"/>
    <w:rPr>
      <w:color w:val="0563C1" w:themeColor="hyperlink"/>
      <w:u w:val="single"/>
    </w:rPr>
  </w:style>
  <w:style w:type="character" w:customStyle="1" w:styleId="UnresolvedMention">
    <w:name w:val="Unresolved Mention"/>
    <w:basedOn w:val="DefaultParagraphFont"/>
    <w:uiPriority w:val="99"/>
    <w:semiHidden/>
    <w:unhideWhenUsed/>
    <w:rsid w:val="00411840"/>
    <w:rPr>
      <w:color w:val="605E5C"/>
      <w:shd w:val="clear" w:color="auto" w:fill="E1DFDD"/>
    </w:rPr>
  </w:style>
  <w:style w:type="paragraph" w:styleId="NormalWeb">
    <w:name w:val="Normal (Web)"/>
    <w:basedOn w:val="Normal"/>
    <w:uiPriority w:val="99"/>
    <w:semiHidden/>
    <w:unhideWhenUsed/>
    <w:rsid w:val="00E1177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E1177A"/>
    <w:rPr>
      <w:b/>
      <w:bCs/>
    </w:rPr>
  </w:style>
  <w:style w:type="paragraph" w:styleId="Header">
    <w:name w:val="header"/>
    <w:basedOn w:val="Normal"/>
    <w:link w:val="HeaderChar"/>
    <w:uiPriority w:val="99"/>
    <w:unhideWhenUsed/>
    <w:rsid w:val="00E117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77A"/>
  </w:style>
  <w:style w:type="paragraph" w:styleId="Footer">
    <w:name w:val="footer"/>
    <w:basedOn w:val="Normal"/>
    <w:link w:val="FooterChar"/>
    <w:uiPriority w:val="99"/>
    <w:unhideWhenUsed/>
    <w:rsid w:val="00E117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177A"/>
  </w:style>
  <w:style w:type="character" w:styleId="Emphasis">
    <w:name w:val="Emphasis"/>
    <w:basedOn w:val="DefaultParagraphFont"/>
    <w:uiPriority w:val="20"/>
    <w:qFormat/>
    <w:rsid w:val="00E117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0433">
      <w:bodyDiv w:val="1"/>
      <w:marLeft w:val="0"/>
      <w:marRight w:val="0"/>
      <w:marTop w:val="0"/>
      <w:marBottom w:val="0"/>
      <w:divBdr>
        <w:top w:val="none" w:sz="0" w:space="0" w:color="auto"/>
        <w:left w:val="none" w:sz="0" w:space="0" w:color="auto"/>
        <w:bottom w:val="none" w:sz="0" w:space="0" w:color="auto"/>
        <w:right w:val="none" w:sz="0" w:space="0" w:color="auto"/>
      </w:divBdr>
    </w:div>
    <w:div w:id="131217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ncen.gov/resources/international/financial-action-task-force" TargetMode="External"/><Relationship Id="rId3" Type="http://schemas.openxmlformats.org/officeDocument/2006/relationships/settings" Target="settings.xml"/><Relationship Id="rId7" Type="http://schemas.openxmlformats.org/officeDocument/2006/relationships/hyperlink" Target="https://www.fincen.gov/resources/international/financial-action-task-for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2021-02-06T05:19:00Z</dcterms:created>
  <dcterms:modified xsi:type="dcterms:W3CDTF">2021-02-06T05:19:00Z</dcterms:modified>
</cp:coreProperties>
</file>