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1C125E9F" w14:textId="795A6A43" w:rsidR="003F719A" w:rsidRPr="003F719A" w:rsidRDefault="0089003B" w:rsidP="003F719A">
      <w:pPr>
        <w:spacing w:line="480" w:lineRule="auto"/>
        <w:ind w:firstLine="720"/>
        <w:jc w:val="center"/>
      </w:pPr>
      <w:r>
        <w:t>Intra-entity Transfers</w:t>
      </w:r>
    </w:p>
    <w:p w14:paraId="6CCB5F0E" w14:textId="6C63520C" w:rsidR="00DB3A96" w:rsidRDefault="00124E96" w:rsidP="00DB3A96">
      <w:pPr>
        <w:spacing w:line="480" w:lineRule="auto"/>
        <w:ind w:firstLine="720"/>
        <w:jc w:val="center"/>
      </w:pPr>
      <w:r>
        <w:t>Student’s Name</w:t>
      </w:r>
    </w:p>
    <w:p w14:paraId="6262339F" w14:textId="76831DC4" w:rsidR="00DB3A96" w:rsidRDefault="00124E96" w:rsidP="00DB3A96">
      <w:pPr>
        <w:spacing w:line="480" w:lineRule="auto"/>
        <w:ind w:firstLine="720"/>
        <w:jc w:val="center"/>
      </w:pPr>
      <w:r>
        <w:t xml:space="preserve">Institution </w:t>
      </w:r>
      <w:r w:rsidR="000C5964">
        <w:t>Affiliation</w:t>
      </w:r>
      <w:r>
        <w:t xml:space="preserve"> </w:t>
      </w:r>
    </w:p>
    <w:p w14:paraId="70A66C29" w14:textId="77777777" w:rsidR="00DB3A96" w:rsidRDefault="00DB3A96" w:rsidP="00DB3A96">
      <w:pPr>
        <w:spacing w:line="480" w:lineRule="auto"/>
        <w:ind w:firstLine="720"/>
        <w:jc w:val="center"/>
      </w:pPr>
    </w:p>
    <w:p w14:paraId="3B905F86" w14:textId="77777777" w:rsidR="00DB3A96" w:rsidRDefault="00DB3A96" w:rsidP="00DB3A96">
      <w:pPr>
        <w:spacing w:line="480" w:lineRule="auto"/>
        <w:ind w:firstLine="720"/>
        <w:jc w:val="center"/>
      </w:pPr>
    </w:p>
    <w:p w14:paraId="2CAD709F" w14:textId="77777777" w:rsidR="00DB3A96" w:rsidRDefault="00DB3A96" w:rsidP="00DB3A96">
      <w:pPr>
        <w:spacing w:line="480" w:lineRule="auto"/>
        <w:ind w:firstLine="720"/>
        <w:jc w:val="center"/>
      </w:pPr>
    </w:p>
    <w:p w14:paraId="14C64E8B" w14:textId="77777777" w:rsidR="00DB3A96" w:rsidRDefault="00DB3A96" w:rsidP="00DB3A96">
      <w:pPr>
        <w:spacing w:line="480" w:lineRule="auto"/>
        <w:ind w:firstLine="720"/>
        <w:jc w:val="center"/>
      </w:pPr>
    </w:p>
    <w:p w14:paraId="14FC2CFC" w14:textId="77777777" w:rsidR="00DB3A96" w:rsidRDefault="00DB3A96" w:rsidP="00DB3A96">
      <w:pPr>
        <w:spacing w:line="480" w:lineRule="auto"/>
      </w:pPr>
    </w:p>
    <w:p w14:paraId="29566F47" w14:textId="77777777" w:rsidR="00DB3A96" w:rsidRDefault="00DB3A96" w:rsidP="00DB3A96">
      <w:pPr>
        <w:spacing w:line="480" w:lineRule="auto"/>
        <w:ind w:firstLine="720"/>
        <w:jc w:val="center"/>
      </w:pPr>
    </w:p>
    <w:p w14:paraId="7615EC4F" w14:textId="77777777" w:rsidR="00DB3A96" w:rsidRDefault="00DB3A96" w:rsidP="00A15EB6">
      <w:pPr>
        <w:spacing w:line="480" w:lineRule="auto"/>
      </w:pPr>
    </w:p>
    <w:p w14:paraId="1F25160C" w14:textId="77777777" w:rsidR="0089003B" w:rsidRPr="003F719A" w:rsidRDefault="0089003B" w:rsidP="0089003B">
      <w:pPr>
        <w:spacing w:line="480" w:lineRule="auto"/>
        <w:ind w:firstLine="720"/>
        <w:jc w:val="center"/>
      </w:pPr>
      <w:r>
        <w:lastRenderedPageBreak/>
        <w:t>Intra-entity Transfers</w:t>
      </w:r>
    </w:p>
    <w:p w14:paraId="7217F81A" w14:textId="0C4E121E" w:rsidR="00501975" w:rsidRDefault="00D13AE0" w:rsidP="00D13AE0">
      <w:pPr>
        <w:pStyle w:val="ListParagraph"/>
        <w:numPr>
          <w:ilvl w:val="0"/>
          <w:numId w:val="1"/>
        </w:numPr>
        <w:spacing w:line="480" w:lineRule="auto"/>
        <w:rPr>
          <w:rFonts w:eastAsia="Times New Roman"/>
        </w:rPr>
      </w:pPr>
      <w:r w:rsidRPr="00D13AE0">
        <w:rPr>
          <w:rFonts w:eastAsia="Times New Roman"/>
        </w:rPr>
        <w:t>Intra-entity transaction</w:t>
      </w:r>
      <w:r w:rsidR="0089003B">
        <w:rPr>
          <w:rFonts w:eastAsia="Times New Roman"/>
        </w:rPr>
        <w:t>s</w:t>
      </w:r>
      <w:r w:rsidRPr="00D13AE0">
        <w:rPr>
          <w:rFonts w:eastAsia="Times New Roman"/>
        </w:rPr>
        <w:t xml:space="preserve"> are common between companies mainly because the organization of these business combinations is in such a way that</w:t>
      </w:r>
      <w:r w:rsidR="00F21D2F">
        <w:rPr>
          <w:rFonts w:eastAsia="Times New Roman"/>
        </w:rPr>
        <w:t>, one company’</w:t>
      </w:r>
      <w:r w:rsidRPr="00D13AE0">
        <w:rPr>
          <w:rFonts w:eastAsia="Times New Roman"/>
        </w:rPr>
        <w:t xml:space="preserve">s needs comprise of the services and products sold by the other. Hence, </w:t>
      </w:r>
      <w:r w:rsidR="00397720">
        <w:rPr>
          <w:rFonts w:eastAsia="Times New Roman"/>
        </w:rPr>
        <w:t xml:space="preserve">there is heightened generation of profits because, instead of buying from a third party, a company has its component as a </w:t>
      </w:r>
      <w:r w:rsidR="00F21D2F">
        <w:rPr>
          <w:rFonts w:eastAsia="Times New Roman"/>
        </w:rPr>
        <w:t>long-</w:t>
      </w:r>
      <w:r w:rsidR="00397720">
        <w:rPr>
          <w:rFonts w:eastAsia="Times New Roman"/>
        </w:rPr>
        <w:t>lasting client.</w:t>
      </w:r>
    </w:p>
    <w:p w14:paraId="4E3DBBC8" w14:textId="3A0E8D05" w:rsidR="00397720" w:rsidRDefault="00397720" w:rsidP="00D13AE0">
      <w:pPr>
        <w:pStyle w:val="ListParagraph"/>
        <w:numPr>
          <w:ilvl w:val="0"/>
          <w:numId w:val="1"/>
        </w:numPr>
        <w:spacing w:line="480" w:lineRule="auto"/>
        <w:rPr>
          <w:rFonts w:eastAsia="Times New Roman"/>
        </w:rPr>
      </w:pPr>
      <w:r>
        <w:rPr>
          <w:rFonts w:eastAsia="Times New Roman"/>
        </w:rPr>
        <w:t xml:space="preserve">Total sales between Barker Company and Walden Company </w:t>
      </w:r>
      <w:r w:rsidR="00F21D2F">
        <w:rPr>
          <w:rFonts w:eastAsia="Times New Roman"/>
        </w:rPr>
        <w:t>were</w:t>
      </w:r>
      <w:r>
        <w:rPr>
          <w:rFonts w:eastAsia="Times New Roman"/>
        </w:rPr>
        <w:t xml:space="preserve"> $100,000 which translates to an intra-entity transfer. Therefore, </w:t>
      </w:r>
      <w:r w:rsidR="001D0761">
        <w:rPr>
          <w:rFonts w:eastAsia="Times New Roman"/>
        </w:rPr>
        <w:t>irrespective</w:t>
      </w:r>
      <w:r>
        <w:rPr>
          <w:rFonts w:eastAsia="Times New Roman"/>
        </w:rPr>
        <w:t xml:space="preserve"> of </w:t>
      </w:r>
      <w:r w:rsidR="001D0761">
        <w:rPr>
          <w:rFonts w:eastAsia="Times New Roman"/>
        </w:rPr>
        <w:t>the percentage of ownership or profit rate the total sales of $100,000 ought to be excluded from the sales and purchases accounts.</w:t>
      </w:r>
    </w:p>
    <w:p w14:paraId="707AB948" w14:textId="78FC3817" w:rsidR="001D0761" w:rsidRDefault="000117A0" w:rsidP="00D13AE0">
      <w:pPr>
        <w:pStyle w:val="ListParagraph"/>
        <w:numPr>
          <w:ilvl w:val="0"/>
          <w:numId w:val="1"/>
        </w:numPr>
        <w:spacing w:line="480" w:lineRule="auto"/>
        <w:rPr>
          <w:rFonts w:eastAsia="Times New Roman"/>
        </w:rPr>
      </w:pPr>
      <w:r>
        <w:rPr>
          <w:rFonts w:eastAsia="Times New Roman"/>
        </w:rPr>
        <w:t>When a product is sold in an intra-entity transaction, the companies create a transfer price exceeding the cost of the inventory. The seller therefore, records a gross profit although it remains unattained</w:t>
      </w:r>
      <w:r w:rsidR="00F21D2F">
        <w:rPr>
          <w:rFonts w:eastAsia="Times New Roman"/>
        </w:rPr>
        <w:t>,</w:t>
      </w:r>
      <w:r>
        <w:rPr>
          <w:rFonts w:eastAsia="Times New Roman"/>
        </w:rPr>
        <w:t xml:space="preserve"> </w:t>
      </w:r>
      <w:r w:rsidR="00BC73DC">
        <w:rPr>
          <w:rFonts w:eastAsia="Times New Roman"/>
        </w:rPr>
        <w:t>from the viewpoint of the business combination</w:t>
      </w:r>
      <w:r w:rsidR="00F21D2F">
        <w:rPr>
          <w:rFonts w:eastAsia="Times New Roman"/>
        </w:rPr>
        <w:t>,</w:t>
      </w:r>
      <w:r w:rsidR="00BC73DC">
        <w:rPr>
          <w:rFonts w:eastAsia="Times New Roman"/>
        </w:rPr>
        <w:t xml:space="preserve"> until utilized or sold to a different buyer. Upon preparation of consolidated financial statements, the unattained gross profits are scrapped from the inventory accounts and deferred to the next financial year. Thus in the following year, the unrealized gross profit must be included in the consolidation process.</w:t>
      </w:r>
    </w:p>
    <w:p w14:paraId="3B79FD42" w14:textId="2C60EBB2" w:rsidR="00BC73DC" w:rsidRDefault="00BC73DC" w:rsidP="00D13AE0">
      <w:pPr>
        <w:pStyle w:val="ListParagraph"/>
        <w:numPr>
          <w:ilvl w:val="0"/>
          <w:numId w:val="1"/>
        </w:numPr>
        <w:spacing w:line="480" w:lineRule="auto"/>
        <w:rPr>
          <w:rFonts w:eastAsia="Times New Roman"/>
        </w:rPr>
      </w:pPr>
      <w:r>
        <w:rPr>
          <w:rFonts w:eastAsia="Times New Roman"/>
        </w:rPr>
        <w:t>James, Inc. records a gross profit on its financial records in the year of the intra-entity transfer.</w:t>
      </w:r>
      <w:r w:rsidR="00B13943">
        <w:rPr>
          <w:rFonts w:eastAsia="Times New Roman"/>
        </w:rPr>
        <w:t xml:space="preserve"> This gross profit can only be realized upon selling, or consumption of the inventory by Matthews Co. The first entry is made in the year of transfer to defer unattained gross profit. The second entry is made on the next financial year so that upon the inventory’s complete consumption, the gross profit </w:t>
      </w:r>
      <w:r w:rsidR="00B55F6A">
        <w:rPr>
          <w:rFonts w:eastAsia="Times New Roman"/>
        </w:rPr>
        <w:t>can be recognized.</w:t>
      </w:r>
    </w:p>
    <w:p w14:paraId="1D3EDCAA" w14:textId="6E977E99" w:rsidR="00B55F6A" w:rsidRDefault="00B55F6A" w:rsidP="00D13AE0">
      <w:pPr>
        <w:pStyle w:val="ListParagraph"/>
        <w:numPr>
          <w:ilvl w:val="0"/>
          <w:numId w:val="1"/>
        </w:numPr>
        <w:spacing w:line="480" w:lineRule="auto"/>
        <w:rPr>
          <w:rFonts w:eastAsia="Times New Roman"/>
        </w:rPr>
      </w:pPr>
      <w:r>
        <w:rPr>
          <w:rFonts w:eastAsia="Times New Roman"/>
        </w:rPr>
        <w:t>According to the existing accounting pronouncement, gross profits that are unattained connect to the seller and in the sellers account books. In an upstream</w:t>
      </w:r>
      <w:r w:rsidR="00F5654D">
        <w:rPr>
          <w:rFonts w:eastAsia="Times New Roman"/>
        </w:rPr>
        <w:t xml:space="preserve"> intra- entity transfer</w:t>
      </w:r>
      <w:r>
        <w:rPr>
          <w:rFonts w:eastAsia="Times New Roman"/>
        </w:rPr>
        <w:t xml:space="preserve"> the effect of deferring and eventually recognizing these gross profits must be considered while calculating non-controlling interest balances. However, in downstream transfers, unrealized profits have no effect on the non-controlling interest. </w:t>
      </w:r>
    </w:p>
    <w:p w14:paraId="44E0A8D8" w14:textId="6D3EB02B" w:rsidR="00F5654D" w:rsidRPr="002222B9" w:rsidRDefault="002222B9" w:rsidP="00D13AE0">
      <w:pPr>
        <w:pStyle w:val="ListParagraph"/>
        <w:numPr>
          <w:ilvl w:val="0"/>
          <w:numId w:val="1"/>
        </w:numPr>
        <w:spacing w:line="480" w:lineRule="auto"/>
        <w:rPr>
          <w:rFonts w:eastAsia="Times New Roman"/>
        </w:rPr>
      </w:pPr>
      <w:r>
        <w:rPr>
          <w:rFonts w:eastAsia="Times New Roman"/>
        </w:rPr>
        <w:t xml:space="preserve">a) </w:t>
      </w:r>
      <w:r w:rsidRPr="002222B9">
        <w:rPr>
          <w:rFonts w:eastAsia="Times New Roman"/>
          <w:lang/>
        </w:rPr>
        <w:t>Revenues and COGS must be recognized for all intra-entity sales regardless of whether the sales are upstream or downstream.</w:t>
      </w:r>
    </w:p>
    <w:p w14:paraId="29F5559F" w14:textId="65E114F6" w:rsidR="002222B9" w:rsidRPr="002222B9" w:rsidRDefault="002222B9" w:rsidP="002222B9">
      <w:pPr>
        <w:pStyle w:val="ListParagraph"/>
        <w:numPr>
          <w:ilvl w:val="0"/>
          <w:numId w:val="1"/>
        </w:numPr>
        <w:spacing w:line="480" w:lineRule="auto"/>
        <w:rPr>
          <w:rFonts w:eastAsia="Times New Roman"/>
          <w:lang/>
        </w:rPr>
      </w:pPr>
      <w:r>
        <w:rPr>
          <w:rFonts w:eastAsia="Times New Roman"/>
        </w:rPr>
        <w:t xml:space="preserve">a) </w:t>
      </w:r>
      <w:r w:rsidRPr="002222B9">
        <w:rPr>
          <w:rFonts w:eastAsia="Times New Roman"/>
          <w:lang/>
        </w:rPr>
        <w:t>The subsidiary’s reported net income is adjusted for the impact of upstream transfers prior to computing the non</w:t>
      </w:r>
      <w:r w:rsidR="0089003B">
        <w:rPr>
          <w:rFonts w:eastAsia="Times New Roman"/>
          <w:lang/>
        </w:rPr>
        <w:t>-</w:t>
      </w:r>
      <w:r w:rsidRPr="002222B9">
        <w:rPr>
          <w:rFonts w:eastAsia="Times New Roman"/>
          <w:lang/>
        </w:rPr>
        <w:t xml:space="preserve">controlling interest’s allocation. </w:t>
      </w:r>
    </w:p>
    <w:p w14:paraId="2BCA828E" w14:textId="77777777" w:rsidR="0089003B" w:rsidRPr="0089003B" w:rsidRDefault="0089003B" w:rsidP="0089003B">
      <w:pPr>
        <w:pStyle w:val="ListParagraph"/>
        <w:numPr>
          <w:ilvl w:val="0"/>
          <w:numId w:val="1"/>
        </w:numPr>
        <w:spacing w:line="480" w:lineRule="auto"/>
        <w:rPr>
          <w:rFonts w:eastAsia="Times New Roman"/>
          <w:lang/>
        </w:rPr>
      </w:pPr>
      <w:r>
        <w:rPr>
          <w:rFonts w:eastAsia="Times New Roman"/>
        </w:rPr>
        <w:t xml:space="preserve">d) </w:t>
      </w:r>
      <w:r w:rsidRPr="0089003B">
        <w:rPr>
          <w:rFonts w:eastAsia="Times New Roman"/>
          <w:lang/>
        </w:rPr>
        <w:t>$970,000 and $696,000</w:t>
      </w:r>
    </w:p>
    <w:p w14:paraId="0589A3CC" w14:textId="7C37920F" w:rsidR="002222B9" w:rsidRPr="0089003B" w:rsidRDefault="002222B9" w:rsidP="0089003B">
      <w:pPr>
        <w:spacing w:line="480" w:lineRule="auto"/>
        <w:rPr>
          <w:rFonts w:eastAsia="Times New Roman"/>
        </w:rPr>
      </w:pPr>
    </w:p>
    <w:p w14:paraId="1C95FF60" w14:textId="77777777" w:rsidR="00501975" w:rsidRDefault="00501975" w:rsidP="00501975">
      <w:pPr>
        <w:spacing w:line="480" w:lineRule="auto"/>
        <w:ind w:firstLine="720"/>
        <w:rPr>
          <w:rFonts w:eastAsia="Times New Roman"/>
        </w:rPr>
      </w:pPr>
    </w:p>
    <w:p w14:paraId="4172B827" w14:textId="77777777" w:rsidR="00501975" w:rsidRDefault="00501975" w:rsidP="00501975">
      <w:pPr>
        <w:spacing w:line="480" w:lineRule="auto"/>
        <w:ind w:firstLine="720"/>
        <w:rPr>
          <w:rFonts w:eastAsia="Times New Roman"/>
        </w:rPr>
      </w:pPr>
    </w:p>
    <w:p w14:paraId="690F856F" w14:textId="77777777" w:rsidR="00501975" w:rsidRDefault="00501975" w:rsidP="00501975">
      <w:pPr>
        <w:spacing w:line="480" w:lineRule="auto"/>
        <w:ind w:firstLine="720"/>
        <w:rPr>
          <w:rFonts w:eastAsia="Times New Roman"/>
        </w:rPr>
      </w:pPr>
    </w:p>
    <w:p w14:paraId="137EE84A" w14:textId="77777777" w:rsidR="00501975" w:rsidRDefault="00501975" w:rsidP="00501975">
      <w:pPr>
        <w:spacing w:line="480" w:lineRule="auto"/>
        <w:ind w:firstLine="720"/>
        <w:rPr>
          <w:rFonts w:eastAsia="Times New Roman"/>
        </w:rPr>
      </w:pPr>
    </w:p>
    <w:p w14:paraId="06A2271E" w14:textId="77777777" w:rsidR="00501975" w:rsidRDefault="00501975" w:rsidP="00501975">
      <w:pPr>
        <w:spacing w:line="480" w:lineRule="auto"/>
        <w:ind w:firstLine="720"/>
        <w:rPr>
          <w:rFonts w:eastAsia="Times New Roman"/>
        </w:rPr>
      </w:pPr>
    </w:p>
    <w:p w14:paraId="15C36146" w14:textId="77777777" w:rsidR="00501975" w:rsidRDefault="00501975" w:rsidP="00501975">
      <w:pPr>
        <w:spacing w:line="480" w:lineRule="auto"/>
        <w:ind w:firstLine="720"/>
        <w:rPr>
          <w:rFonts w:eastAsia="Times New Roman"/>
        </w:rPr>
      </w:pPr>
    </w:p>
    <w:p w14:paraId="7DF02B48" w14:textId="77777777" w:rsidR="00501975" w:rsidRDefault="00501975" w:rsidP="00A15EB6">
      <w:pPr>
        <w:spacing w:line="480" w:lineRule="auto"/>
        <w:rPr>
          <w:rFonts w:eastAsia="Times New Roman"/>
        </w:rPr>
      </w:pPr>
      <w:bookmarkStart w:id="0" w:name="_GoBack"/>
      <w:bookmarkEnd w:id="0"/>
    </w:p>
    <w:sectPr w:rsidR="00501975"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896445" w14:textId="77777777" w:rsidR="00C65B26" w:rsidRDefault="00C65B26">
      <w:pPr>
        <w:spacing w:after="0" w:line="240" w:lineRule="auto"/>
      </w:pPr>
      <w:r>
        <w:separator/>
      </w:r>
    </w:p>
  </w:endnote>
  <w:endnote w:type="continuationSeparator" w:id="0">
    <w:p w14:paraId="4FCC0858" w14:textId="77777777" w:rsidR="00C65B26" w:rsidRDefault="00C65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AADF22" w14:textId="77777777" w:rsidR="00C65B26" w:rsidRDefault="00C65B26">
      <w:pPr>
        <w:spacing w:after="0" w:line="240" w:lineRule="auto"/>
      </w:pPr>
      <w:r>
        <w:separator/>
      </w:r>
    </w:p>
  </w:footnote>
  <w:footnote w:type="continuationSeparator" w:id="0">
    <w:p w14:paraId="7F06C4DA" w14:textId="77777777" w:rsidR="00C65B26" w:rsidRDefault="00C65B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22F9D50E" w:rsidR="000C5964" w:rsidRDefault="0089003B">
    <w:pPr>
      <w:pStyle w:val="Header"/>
    </w:pPr>
    <w:r w:rsidRPr="0089003B">
      <w:t>INTRA-ENTITY TRANSFERS</w:t>
    </w:r>
    <w:r w:rsidR="00124E96">
      <w:tab/>
    </w:r>
    <w:r w:rsidR="00124E96">
      <w:tab/>
    </w:r>
    <w:r w:rsidR="00124E96">
      <w:fldChar w:fldCharType="begin"/>
    </w:r>
    <w:r w:rsidR="00124E96">
      <w:instrText xml:space="preserve"> PAGE   \* MERGEFORMAT </w:instrText>
    </w:r>
    <w:r w:rsidR="00124E96">
      <w:fldChar w:fldCharType="separate"/>
    </w:r>
    <w:r w:rsidR="00A15EB6">
      <w:rPr>
        <w:noProof/>
      </w:rPr>
      <w:t>3</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7F063F61" w:rsidR="000C5964" w:rsidRDefault="00124E96" w:rsidP="000C5964">
    <w:pPr>
      <w:pStyle w:val="Header"/>
    </w:pPr>
    <w:r>
      <w:t xml:space="preserve">Running head: </w:t>
    </w:r>
    <w:r w:rsidR="0089003B" w:rsidRPr="0089003B">
      <w:t>INTRA-ENTITY TRANSFERS</w:t>
    </w:r>
    <w:r w:rsidR="00D00FF6">
      <w:t xml:space="preserve">                       </w:t>
    </w:r>
    <w:r>
      <w:tab/>
    </w:r>
    <w:r>
      <w:fldChar w:fldCharType="begin"/>
    </w:r>
    <w:r>
      <w:instrText xml:space="preserve"> PAGE   \* MERGEFORMAT </w:instrText>
    </w:r>
    <w:r>
      <w:fldChar w:fldCharType="separate"/>
    </w:r>
    <w:r w:rsidR="00C65B26">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07221E"/>
    <w:multiLevelType w:val="hybridMultilevel"/>
    <w:tmpl w:val="18909A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0996FEF"/>
    <w:multiLevelType w:val="hybridMultilevel"/>
    <w:tmpl w:val="D7A68B8E"/>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
    <w:nsid w:val="7F151CB7"/>
    <w:multiLevelType w:val="hybridMultilevel"/>
    <w:tmpl w:val="A7EEF6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17A0"/>
    <w:rsid w:val="00012B23"/>
    <w:rsid w:val="000609DC"/>
    <w:rsid w:val="000858DE"/>
    <w:rsid w:val="000942A1"/>
    <w:rsid w:val="000C5964"/>
    <w:rsid w:val="000E26FC"/>
    <w:rsid w:val="000E586C"/>
    <w:rsid w:val="000F0D68"/>
    <w:rsid w:val="00120FC6"/>
    <w:rsid w:val="00123208"/>
    <w:rsid w:val="00124E96"/>
    <w:rsid w:val="00127E8D"/>
    <w:rsid w:val="001717BF"/>
    <w:rsid w:val="001922D4"/>
    <w:rsid w:val="001954F1"/>
    <w:rsid w:val="001B78AC"/>
    <w:rsid w:val="001C3356"/>
    <w:rsid w:val="001C514F"/>
    <w:rsid w:val="001D0761"/>
    <w:rsid w:val="001E69BA"/>
    <w:rsid w:val="00200448"/>
    <w:rsid w:val="00205334"/>
    <w:rsid w:val="00205F60"/>
    <w:rsid w:val="002222B9"/>
    <w:rsid w:val="00235EF5"/>
    <w:rsid w:val="00240E41"/>
    <w:rsid w:val="00250936"/>
    <w:rsid w:val="0025568D"/>
    <w:rsid w:val="00274616"/>
    <w:rsid w:val="00283A80"/>
    <w:rsid w:val="002A00CA"/>
    <w:rsid w:val="002A3E80"/>
    <w:rsid w:val="002E42EA"/>
    <w:rsid w:val="002E5CCB"/>
    <w:rsid w:val="00312ECD"/>
    <w:rsid w:val="00325EA2"/>
    <w:rsid w:val="00341A79"/>
    <w:rsid w:val="00357BDA"/>
    <w:rsid w:val="00391085"/>
    <w:rsid w:val="00397720"/>
    <w:rsid w:val="003A4C4D"/>
    <w:rsid w:val="003C0699"/>
    <w:rsid w:val="003C5096"/>
    <w:rsid w:val="003E0DF3"/>
    <w:rsid w:val="003F719A"/>
    <w:rsid w:val="00400081"/>
    <w:rsid w:val="004011FA"/>
    <w:rsid w:val="0041003C"/>
    <w:rsid w:val="00411C50"/>
    <w:rsid w:val="0042628F"/>
    <w:rsid w:val="00430421"/>
    <w:rsid w:val="004336C7"/>
    <w:rsid w:val="00445721"/>
    <w:rsid w:val="004575B8"/>
    <w:rsid w:val="004856FF"/>
    <w:rsid w:val="00501975"/>
    <w:rsid w:val="005178DE"/>
    <w:rsid w:val="00524E71"/>
    <w:rsid w:val="005262DA"/>
    <w:rsid w:val="00542539"/>
    <w:rsid w:val="00562A86"/>
    <w:rsid w:val="00596F43"/>
    <w:rsid w:val="005C6DE9"/>
    <w:rsid w:val="0061517F"/>
    <w:rsid w:val="00642861"/>
    <w:rsid w:val="006518DD"/>
    <w:rsid w:val="0066468A"/>
    <w:rsid w:val="0067082D"/>
    <w:rsid w:val="0068160D"/>
    <w:rsid w:val="006A4049"/>
    <w:rsid w:val="006A69D2"/>
    <w:rsid w:val="006E4A0E"/>
    <w:rsid w:val="006E6301"/>
    <w:rsid w:val="006E68AE"/>
    <w:rsid w:val="006E72B6"/>
    <w:rsid w:val="007907D2"/>
    <w:rsid w:val="0079459F"/>
    <w:rsid w:val="00795EA9"/>
    <w:rsid w:val="007E7A9F"/>
    <w:rsid w:val="00861423"/>
    <w:rsid w:val="0089003B"/>
    <w:rsid w:val="008978BA"/>
    <w:rsid w:val="008B14DF"/>
    <w:rsid w:val="008D4196"/>
    <w:rsid w:val="008E0EC4"/>
    <w:rsid w:val="008F4073"/>
    <w:rsid w:val="008F49DB"/>
    <w:rsid w:val="00901608"/>
    <w:rsid w:val="00954BED"/>
    <w:rsid w:val="009649B3"/>
    <w:rsid w:val="00983470"/>
    <w:rsid w:val="00983CF5"/>
    <w:rsid w:val="00990F8C"/>
    <w:rsid w:val="009B0442"/>
    <w:rsid w:val="009C5022"/>
    <w:rsid w:val="00A15EB6"/>
    <w:rsid w:val="00A21CAB"/>
    <w:rsid w:val="00A23F14"/>
    <w:rsid w:val="00A305D2"/>
    <w:rsid w:val="00A7614D"/>
    <w:rsid w:val="00A91C43"/>
    <w:rsid w:val="00A9271E"/>
    <w:rsid w:val="00A935B4"/>
    <w:rsid w:val="00A95C54"/>
    <w:rsid w:val="00AA0EB5"/>
    <w:rsid w:val="00AA6F5A"/>
    <w:rsid w:val="00AC5101"/>
    <w:rsid w:val="00AD42BE"/>
    <w:rsid w:val="00AD78D0"/>
    <w:rsid w:val="00B13943"/>
    <w:rsid w:val="00B3541B"/>
    <w:rsid w:val="00B55F6A"/>
    <w:rsid w:val="00B651CF"/>
    <w:rsid w:val="00BC73DC"/>
    <w:rsid w:val="00C01E80"/>
    <w:rsid w:val="00C24DE0"/>
    <w:rsid w:val="00C65B26"/>
    <w:rsid w:val="00C66B5D"/>
    <w:rsid w:val="00C82270"/>
    <w:rsid w:val="00C82553"/>
    <w:rsid w:val="00C84394"/>
    <w:rsid w:val="00C87114"/>
    <w:rsid w:val="00CB3EEF"/>
    <w:rsid w:val="00D00FF6"/>
    <w:rsid w:val="00D13AE0"/>
    <w:rsid w:val="00D40778"/>
    <w:rsid w:val="00D824D6"/>
    <w:rsid w:val="00DB3A96"/>
    <w:rsid w:val="00DC03AF"/>
    <w:rsid w:val="00DD0658"/>
    <w:rsid w:val="00DF099D"/>
    <w:rsid w:val="00DF46A2"/>
    <w:rsid w:val="00E46D5E"/>
    <w:rsid w:val="00E906C8"/>
    <w:rsid w:val="00EB70AD"/>
    <w:rsid w:val="00F03B24"/>
    <w:rsid w:val="00F21D2F"/>
    <w:rsid w:val="00F5654D"/>
    <w:rsid w:val="00F70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ListParagraph">
    <w:name w:val="List Paragraph"/>
    <w:basedOn w:val="Normal"/>
    <w:uiPriority w:val="34"/>
    <w:qFormat/>
    <w:rsid w:val="00D13AE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ListParagraph">
    <w:name w:val="List Paragraph"/>
    <w:basedOn w:val="Normal"/>
    <w:uiPriority w:val="34"/>
    <w:qFormat/>
    <w:rsid w:val="00D13A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A19BB9-70EF-4890-8D93-A0989B918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368</Words>
  <Characters>2103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2020-02-26T00:08:00Z</dcterms:created>
  <dcterms:modified xsi:type="dcterms:W3CDTF">2020-02-26T00:08:00Z</dcterms:modified>
</cp:coreProperties>
</file>