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001" w:rsidRDefault="00484001" w:rsidP="002C7D8B">
      <w:pPr>
        <w:spacing w:before="100" w:beforeAutospacing="1" w:after="100" w:afterAutospacing="1" w:line="480" w:lineRule="auto"/>
        <w:jc w:val="center"/>
        <w:rPr>
          <w:sz w:val="24"/>
          <w:szCs w:val="24"/>
        </w:rPr>
      </w:pPr>
      <w:r w:rsidRPr="002C7D8B">
        <w:rPr>
          <w:sz w:val="24"/>
          <w:szCs w:val="24"/>
        </w:rPr>
        <w:t>Investment Planning</w:t>
      </w:r>
    </w:p>
    <w:p w:rsidR="002C7D8B" w:rsidRDefault="002C7D8B" w:rsidP="002C7D8B">
      <w:pPr>
        <w:spacing w:before="100" w:beforeAutospacing="1" w:after="100" w:afterAutospacing="1" w:line="480" w:lineRule="auto"/>
        <w:jc w:val="center"/>
        <w:rPr>
          <w:sz w:val="24"/>
          <w:szCs w:val="24"/>
        </w:rPr>
      </w:pPr>
    </w:p>
    <w:p w:rsidR="002C7D8B" w:rsidRPr="002C7D8B" w:rsidRDefault="002C7D8B" w:rsidP="002C7D8B">
      <w:pPr>
        <w:spacing w:before="100" w:beforeAutospacing="1" w:after="100" w:afterAutospacing="1" w:line="480" w:lineRule="auto"/>
        <w:jc w:val="center"/>
        <w:rPr>
          <w:sz w:val="24"/>
          <w:szCs w:val="24"/>
        </w:rPr>
      </w:pPr>
      <w:r>
        <w:rPr>
          <w:sz w:val="24"/>
          <w:szCs w:val="24"/>
        </w:rPr>
        <w:t xml:space="preserve">Student Name </w:t>
      </w:r>
    </w:p>
    <w:p w:rsidR="00484001" w:rsidRPr="002C7D8B" w:rsidRDefault="00484001" w:rsidP="002C7D8B">
      <w:pPr>
        <w:pStyle w:val="BodyText"/>
        <w:spacing w:before="100" w:beforeAutospacing="1" w:after="100" w:afterAutospacing="1" w:line="480" w:lineRule="auto"/>
        <w:rPr>
          <w:b/>
        </w:rPr>
      </w:pPr>
    </w:p>
    <w:p w:rsidR="00484001" w:rsidRPr="002C7D8B" w:rsidRDefault="00484001" w:rsidP="002C7D8B">
      <w:pPr>
        <w:spacing w:before="100" w:beforeAutospacing="1" w:after="100" w:afterAutospacing="1" w:line="480" w:lineRule="auto"/>
        <w:jc w:val="center"/>
        <w:rPr>
          <w:b/>
          <w:sz w:val="24"/>
          <w:szCs w:val="24"/>
        </w:rPr>
      </w:pPr>
      <w:r w:rsidRPr="002C7D8B">
        <w:rPr>
          <w:b/>
          <w:sz w:val="24"/>
          <w:szCs w:val="24"/>
        </w:rPr>
        <w:t xml:space="preserve">THE </w:t>
      </w:r>
      <w:r w:rsidRPr="002C7D8B">
        <w:rPr>
          <w:sz w:val="24"/>
          <w:szCs w:val="24"/>
        </w:rPr>
        <w:t>PROJECT</w:t>
      </w:r>
    </w:p>
    <w:p w:rsidR="00484001" w:rsidRPr="002C7D8B" w:rsidRDefault="00484001" w:rsidP="002C7D8B">
      <w:pPr>
        <w:pStyle w:val="BodyText"/>
        <w:spacing w:before="100" w:beforeAutospacing="1" w:after="100" w:afterAutospacing="1" w:line="480" w:lineRule="auto"/>
        <w:rPr>
          <w:b/>
        </w:rPr>
      </w:pPr>
    </w:p>
    <w:p w:rsidR="00484001" w:rsidRDefault="00484001" w:rsidP="002C7D8B">
      <w:pPr>
        <w:spacing w:before="100" w:beforeAutospacing="1" w:after="100" w:afterAutospacing="1" w:line="480" w:lineRule="auto"/>
        <w:jc w:val="center"/>
        <w:rPr>
          <w:sz w:val="24"/>
          <w:szCs w:val="24"/>
        </w:rPr>
      </w:pPr>
      <w:r w:rsidRPr="002C7D8B">
        <w:rPr>
          <w:sz w:val="24"/>
          <w:szCs w:val="24"/>
        </w:rPr>
        <w:t>Let’s Get Invested</w:t>
      </w: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r>
        <w:rPr>
          <w:sz w:val="24"/>
          <w:szCs w:val="24"/>
        </w:rPr>
        <w:t xml:space="preserve">Institution </w:t>
      </w: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bookmarkStart w:id="0" w:name="_GoBack"/>
      <w:bookmarkEnd w:id="0"/>
    </w:p>
    <w:p w:rsidR="002C7D8B" w:rsidRDefault="002C7D8B" w:rsidP="002C7D8B">
      <w:pPr>
        <w:spacing w:before="100" w:beforeAutospacing="1" w:after="100" w:afterAutospacing="1" w:line="480" w:lineRule="auto"/>
        <w:jc w:val="center"/>
        <w:rPr>
          <w:sz w:val="24"/>
          <w:szCs w:val="24"/>
        </w:rPr>
      </w:pPr>
    </w:p>
    <w:p w:rsidR="00484001" w:rsidRPr="002C7D8B" w:rsidRDefault="00484001" w:rsidP="002C7D8B">
      <w:pPr>
        <w:pStyle w:val="BodyText"/>
        <w:spacing w:before="100" w:beforeAutospacing="1" w:after="100" w:afterAutospacing="1" w:line="480" w:lineRule="auto"/>
      </w:pPr>
    </w:p>
    <w:p w:rsidR="00484001" w:rsidRPr="002C7D8B" w:rsidRDefault="00484001" w:rsidP="002C7D8B">
      <w:pPr>
        <w:pStyle w:val="BodyText"/>
        <w:spacing w:before="100" w:beforeAutospacing="1" w:after="100" w:afterAutospacing="1" w:line="480" w:lineRule="auto"/>
      </w:pPr>
    </w:p>
    <w:p w:rsidR="007712DA" w:rsidRPr="002C7D8B" w:rsidRDefault="007712DA" w:rsidP="002C7D8B">
      <w:pPr>
        <w:spacing w:before="100" w:beforeAutospacing="1" w:after="100" w:afterAutospacing="1" w:line="480" w:lineRule="auto"/>
        <w:rPr>
          <w:sz w:val="24"/>
          <w:szCs w:val="24"/>
        </w:rPr>
      </w:pPr>
    </w:p>
    <w:p w:rsidR="00140840" w:rsidRPr="002C7D8B" w:rsidRDefault="00140840" w:rsidP="002C7D8B">
      <w:pPr>
        <w:spacing w:before="100" w:beforeAutospacing="1" w:after="100" w:afterAutospacing="1" w:line="480" w:lineRule="auto"/>
        <w:jc w:val="center"/>
        <w:rPr>
          <w:sz w:val="24"/>
          <w:szCs w:val="24"/>
        </w:rPr>
      </w:pPr>
      <w:r w:rsidRPr="002C7D8B">
        <w:rPr>
          <w:sz w:val="24"/>
          <w:szCs w:val="24"/>
        </w:rPr>
        <w:lastRenderedPageBreak/>
        <w:t>Introduction</w:t>
      </w:r>
    </w:p>
    <w:p w:rsidR="007712DA" w:rsidRPr="002C7D8B" w:rsidRDefault="00D9087F" w:rsidP="002C7D8B">
      <w:pPr>
        <w:spacing w:before="100" w:beforeAutospacing="1" w:after="100" w:afterAutospacing="1" w:line="480" w:lineRule="auto"/>
        <w:ind w:firstLine="720"/>
        <w:rPr>
          <w:sz w:val="24"/>
          <w:szCs w:val="24"/>
        </w:rPr>
      </w:pPr>
      <w:r w:rsidRPr="002C7D8B">
        <w:rPr>
          <w:sz w:val="24"/>
          <w:szCs w:val="24"/>
        </w:rPr>
        <w:t>Making a sound investment is not a game nor is it for the faint of the heart! There are times that markets go up and, much as the laws of physics</w:t>
      </w:r>
      <w:r w:rsidR="000A26E4" w:rsidRPr="002C7D8B">
        <w:rPr>
          <w:sz w:val="24"/>
          <w:szCs w:val="24"/>
        </w:rPr>
        <w:t xml:space="preserve"> state govern</w:t>
      </w:r>
      <w:r w:rsidRPr="002C7D8B">
        <w:rPr>
          <w:sz w:val="24"/>
          <w:szCs w:val="24"/>
        </w:rPr>
        <w:t xml:space="preserve"> the arc of a golf ball, </w:t>
      </w:r>
      <w:r w:rsidR="000A26E4" w:rsidRPr="002C7D8B">
        <w:rPr>
          <w:sz w:val="24"/>
          <w:szCs w:val="24"/>
        </w:rPr>
        <w:t xml:space="preserve">and certainly there are times that the markets come down. </w:t>
      </w:r>
      <w:r w:rsidR="00BC02F8" w:rsidRPr="002C7D8B">
        <w:rPr>
          <w:sz w:val="24"/>
          <w:szCs w:val="24"/>
        </w:rPr>
        <w:t>Achievement of a perfect performance via market timing does not exist but one can build a solid portfolio with certainty that would allow them to succeed and stay off stress and warries that are pooled with market volatility</w:t>
      </w:r>
      <w:r w:rsidR="002C7D8B">
        <w:rPr>
          <w:sz w:val="24"/>
          <w:szCs w:val="24"/>
        </w:rPr>
        <w:t xml:space="preserve"> (</w:t>
      </w:r>
      <w:r w:rsidR="002C7D8B" w:rsidRPr="002C7D8B">
        <w:rPr>
          <w:sz w:val="24"/>
          <w:szCs w:val="24"/>
        </w:rPr>
        <w:t>Sethi</w:t>
      </w:r>
      <w:r w:rsidR="002C7D8B">
        <w:rPr>
          <w:sz w:val="24"/>
          <w:szCs w:val="24"/>
        </w:rPr>
        <w:t>, 2019)</w:t>
      </w:r>
      <w:r w:rsidR="00BC02F8" w:rsidRPr="002C7D8B">
        <w:rPr>
          <w:sz w:val="24"/>
          <w:szCs w:val="24"/>
        </w:rPr>
        <w:t xml:space="preserve">. </w:t>
      </w:r>
      <w:r w:rsidRPr="002C7D8B">
        <w:rPr>
          <w:sz w:val="24"/>
          <w:szCs w:val="24"/>
        </w:rPr>
        <w:t>T</w:t>
      </w:r>
      <w:r w:rsidR="007712DA" w:rsidRPr="002C7D8B">
        <w:rPr>
          <w:sz w:val="24"/>
          <w:szCs w:val="24"/>
        </w:rPr>
        <w:t xml:space="preserve">he moral, obvious, and simple position of an investment is not putting </w:t>
      </w:r>
      <w:r w:rsidR="002F2FD1" w:rsidRPr="002C7D8B">
        <w:rPr>
          <w:sz w:val="24"/>
          <w:szCs w:val="24"/>
        </w:rPr>
        <w:t xml:space="preserve">an investor’s eggs in a single basket. </w:t>
      </w:r>
      <w:r w:rsidR="00240029" w:rsidRPr="002C7D8B">
        <w:rPr>
          <w:sz w:val="24"/>
          <w:szCs w:val="24"/>
        </w:rPr>
        <w:t>But today, there is a simplified version of modern portfolio theory that holds that an investor should blend bonds and stocks while adjusting the relative percentages as per the desi</w:t>
      </w:r>
      <w:r w:rsidR="00323CB2" w:rsidRPr="002C7D8B">
        <w:rPr>
          <w:sz w:val="24"/>
          <w:szCs w:val="24"/>
        </w:rPr>
        <w:t>7</w:t>
      </w:r>
      <w:r w:rsidR="00240029" w:rsidRPr="002C7D8B">
        <w:rPr>
          <w:sz w:val="24"/>
          <w:szCs w:val="24"/>
        </w:rPr>
        <w:t>ed risk profile on the portfolio in order to yield more</w:t>
      </w:r>
      <w:r w:rsidR="002C7D8B">
        <w:rPr>
          <w:sz w:val="24"/>
          <w:szCs w:val="24"/>
        </w:rPr>
        <w:t xml:space="preserve"> (</w:t>
      </w:r>
      <w:r w:rsidR="002C7D8B" w:rsidRPr="002C7D8B">
        <w:rPr>
          <w:sz w:val="24"/>
          <w:szCs w:val="24"/>
          <w:shd w:val="clear" w:color="auto" w:fill="FFFFFF"/>
        </w:rPr>
        <w:t>JOHNSTON</w:t>
      </w:r>
      <w:r w:rsidR="002C7D8B">
        <w:rPr>
          <w:sz w:val="24"/>
          <w:szCs w:val="24"/>
          <w:shd w:val="clear" w:color="auto" w:fill="FFFFFF"/>
        </w:rPr>
        <w:t>, 2020)</w:t>
      </w:r>
      <w:r w:rsidR="00240029" w:rsidRPr="002C7D8B">
        <w:rPr>
          <w:sz w:val="24"/>
          <w:szCs w:val="24"/>
        </w:rPr>
        <w:t xml:space="preserve">. </w:t>
      </w:r>
    </w:p>
    <w:p w:rsidR="006E4FFF" w:rsidRPr="002C7D8B" w:rsidRDefault="006E4FFF" w:rsidP="002C7D8B">
      <w:pPr>
        <w:spacing w:before="100" w:beforeAutospacing="1" w:after="100" w:afterAutospacing="1" w:line="480" w:lineRule="auto"/>
        <w:ind w:firstLine="720"/>
        <w:rPr>
          <w:sz w:val="24"/>
          <w:szCs w:val="24"/>
        </w:rPr>
      </w:pPr>
      <w:r w:rsidRPr="002C7D8B">
        <w:rPr>
          <w:sz w:val="24"/>
          <w:szCs w:val="24"/>
        </w:rPr>
        <w:t xml:space="preserve">While investing, picking the right stock is very important but obviously not the only </w:t>
      </w:r>
      <w:r w:rsidR="00873EA4" w:rsidRPr="002C7D8B">
        <w:rPr>
          <w:sz w:val="24"/>
          <w:szCs w:val="24"/>
        </w:rPr>
        <w:t>key to financial success. Picking your asset allocation which means defragmenting your financials is more important than any given individual stock. The whims of a financial market are so many and this is one of the reasons that gets people to diversify their options</w:t>
      </w:r>
      <w:r w:rsidR="002C7D8B">
        <w:rPr>
          <w:sz w:val="24"/>
          <w:szCs w:val="24"/>
        </w:rPr>
        <w:t xml:space="preserve"> (</w:t>
      </w:r>
      <w:r w:rsidR="002C7D8B" w:rsidRPr="002C7D8B">
        <w:rPr>
          <w:sz w:val="24"/>
          <w:szCs w:val="24"/>
          <w:shd w:val="clear" w:color="auto" w:fill="FFFFFF"/>
        </w:rPr>
        <w:t>JOHNSTON</w:t>
      </w:r>
      <w:r w:rsidR="002C7D8B">
        <w:rPr>
          <w:sz w:val="24"/>
          <w:szCs w:val="24"/>
          <w:shd w:val="clear" w:color="auto" w:fill="FFFFFF"/>
        </w:rPr>
        <w:t>, 2020</w:t>
      </w:r>
      <w:r w:rsidR="002C7D8B">
        <w:rPr>
          <w:sz w:val="24"/>
          <w:szCs w:val="24"/>
          <w:shd w:val="clear" w:color="auto" w:fill="FFFFFF"/>
        </w:rPr>
        <w:t>)</w:t>
      </w:r>
      <w:r w:rsidR="00873EA4" w:rsidRPr="002C7D8B">
        <w:rPr>
          <w:sz w:val="24"/>
          <w:szCs w:val="24"/>
        </w:rPr>
        <w:t xml:space="preserve">. </w:t>
      </w:r>
      <w:r w:rsidR="000B0F14" w:rsidRPr="002C7D8B">
        <w:rPr>
          <w:sz w:val="24"/>
          <w:szCs w:val="24"/>
        </w:rPr>
        <w:t xml:space="preserve">Investment needs one to invest on different stocks (stock diversification) but what’s more lucrative is allocating funds across different classes of assets like equities (stocks &amp; mutual funds), bonds, and cash. </w:t>
      </w:r>
      <w:r w:rsidR="009E37DB" w:rsidRPr="002C7D8B">
        <w:rPr>
          <w:sz w:val="24"/>
          <w:szCs w:val="24"/>
        </w:rPr>
        <w:t xml:space="preserve">For that matter, in my investment, my asset allocation would be categorized </w:t>
      </w:r>
      <w:r w:rsidR="0099024B" w:rsidRPr="002C7D8B">
        <w:rPr>
          <w:sz w:val="24"/>
          <w:szCs w:val="24"/>
        </w:rPr>
        <w:t>as depicted below:</w:t>
      </w:r>
    </w:p>
    <w:p w:rsidR="00B426CE" w:rsidRPr="002C7D8B" w:rsidRDefault="00B426CE" w:rsidP="002C7D8B">
      <w:pPr>
        <w:spacing w:before="100" w:beforeAutospacing="1" w:after="100" w:afterAutospacing="1" w:line="480" w:lineRule="auto"/>
        <w:ind w:firstLine="720"/>
        <w:rPr>
          <w:sz w:val="24"/>
          <w:szCs w:val="24"/>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52"/>
        <w:gridCol w:w="2880"/>
      </w:tblGrid>
      <w:tr w:rsidR="002C7D8B" w:rsidRPr="002C7D8B" w:rsidTr="00A1354C">
        <w:tc>
          <w:tcPr>
            <w:tcW w:w="2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99024B" w:rsidP="002C7D8B">
            <w:pPr>
              <w:widowControl/>
              <w:autoSpaceDE/>
              <w:autoSpaceDN/>
              <w:spacing w:before="100" w:beforeAutospacing="1" w:after="100" w:afterAutospacing="1" w:line="480" w:lineRule="auto"/>
              <w:rPr>
                <w:sz w:val="24"/>
                <w:szCs w:val="24"/>
              </w:rPr>
            </w:pPr>
            <w:r w:rsidRPr="002C7D8B">
              <w:rPr>
                <w:sz w:val="24"/>
                <w:szCs w:val="24"/>
              </w:rPr>
              <w:t>ASSET CLASS</w:t>
            </w:r>
          </w:p>
        </w:tc>
        <w:tc>
          <w:tcPr>
            <w:tcW w:w="28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99024B" w:rsidP="002C7D8B">
            <w:pPr>
              <w:widowControl/>
              <w:autoSpaceDE/>
              <w:autoSpaceDN/>
              <w:spacing w:before="100" w:beforeAutospacing="1" w:after="100" w:afterAutospacing="1" w:line="480" w:lineRule="auto"/>
              <w:rPr>
                <w:sz w:val="24"/>
                <w:szCs w:val="24"/>
              </w:rPr>
            </w:pPr>
            <w:r w:rsidRPr="002C7D8B">
              <w:rPr>
                <w:sz w:val="24"/>
                <w:szCs w:val="24"/>
              </w:rPr>
              <w:t>% BREAKDOWN</w:t>
            </w:r>
          </w:p>
        </w:tc>
      </w:tr>
      <w:tr w:rsidR="002C7D8B" w:rsidRPr="002C7D8B" w:rsidTr="00A1354C">
        <w:tc>
          <w:tcPr>
            <w:tcW w:w="2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99024B" w:rsidP="002C7D8B">
            <w:pPr>
              <w:widowControl/>
              <w:autoSpaceDE/>
              <w:autoSpaceDN/>
              <w:spacing w:before="100" w:beforeAutospacing="1" w:after="100" w:afterAutospacing="1" w:line="480" w:lineRule="auto"/>
              <w:rPr>
                <w:sz w:val="24"/>
                <w:szCs w:val="24"/>
              </w:rPr>
            </w:pPr>
            <w:r w:rsidRPr="002C7D8B">
              <w:rPr>
                <w:sz w:val="24"/>
                <w:szCs w:val="24"/>
              </w:rPr>
              <w:t>Stocks</w:t>
            </w:r>
          </w:p>
        </w:tc>
        <w:tc>
          <w:tcPr>
            <w:tcW w:w="28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99024B" w:rsidP="002C7D8B">
            <w:pPr>
              <w:widowControl/>
              <w:autoSpaceDE/>
              <w:autoSpaceDN/>
              <w:spacing w:before="100" w:beforeAutospacing="1" w:after="100" w:afterAutospacing="1" w:line="480" w:lineRule="auto"/>
              <w:rPr>
                <w:sz w:val="24"/>
                <w:szCs w:val="24"/>
              </w:rPr>
            </w:pPr>
            <w:r w:rsidRPr="002C7D8B">
              <w:rPr>
                <w:sz w:val="24"/>
                <w:szCs w:val="24"/>
              </w:rPr>
              <w:t>83%</w:t>
            </w:r>
          </w:p>
        </w:tc>
      </w:tr>
      <w:tr w:rsidR="002C7D8B" w:rsidRPr="002C7D8B" w:rsidTr="00A1354C">
        <w:tc>
          <w:tcPr>
            <w:tcW w:w="2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99024B" w:rsidP="002C7D8B">
            <w:pPr>
              <w:widowControl/>
              <w:autoSpaceDE/>
              <w:autoSpaceDN/>
              <w:spacing w:before="100" w:beforeAutospacing="1" w:after="100" w:afterAutospacing="1" w:line="480" w:lineRule="auto"/>
              <w:rPr>
                <w:sz w:val="24"/>
                <w:szCs w:val="24"/>
              </w:rPr>
            </w:pPr>
            <w:r w:rsidRPr="002C7D8B">
              <w:rPr>
                <w:sz w:val="24"/>
                <w:szCs w:val="24"/>
              </w:rPr>
              <w:t>Bonds</w:t>
            </w:r>
          </w:p>
        </w:tc>
        <w:tc>
          <w:tcPr>
            <w:tcW w:w="28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6620CC" w:rsidP="002C7D8B">
            <w:pPr>
              <w:widowControl/>
              <w:autoSpaceDE/>
              <w:autoSpaceDN/>
              <w:spacing w:before="100" w:beforeAutospacing="1" w:after="100" w:afterAutospacing="1" w:line="480" w:lineRule="auto"/>
              <w:rPr>
                <w:sz w:val="24"/>
                <w:szCs w:val="24"/>
              </w:rPr>
            </w:pPr>
            <w:r w:rsidRPr="002C7D8B">
              <w:rPr>
                <w:sz w:val="24"/>
                <w:szCs w:val="24"/>
              </w:rPr>
              <w:t>17</w:t>
            </w:r>
            <w:r w:rsidR="0099024B" w:rsidRPr="002C7D8B">
              <w:rPr>
                <w:sz w:val="24"/>
                <w:szCs w:val="24"/>
              </w:rPr>
              <w:t>%</w:t>
            </w:r>
          </w:p>
        </w:tc>
      </w:tr>
      <w:tr w:rsidR="002C7D8B" w:rsidRPr="002C7D8B" w:rsidTr="00A1354C">
        <w:tc>
          <w:tcPr>
            <w:tcW w:w="2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A1354C" w:rsidP="002C7D8B">
            <w:pPr>
              <w:widowControl/>
              <w:autoSpaceDE/>
              <w:autoSpaceDN/>
              <w:spacing w:before="100" w:beforeAutospacing="1" w:after="100" w:afterAutospacing="1" w:line="480" w:lineRule="auto"/>
              <w:rPr>
                <w:sz w:val="24"/>
                <w:szCs w:val="24"/>
              </w:rPr>
            </w:pPr>
            <w:r w:rsidRPr="002C7D8B">
              <w:rPr>
                <w:sz w:val="24"/>
                <w:szCs w:val="24"/>
              </w:rPr>
              <w:t xml:space="preserve">Total </w:t>
            </w:r>
          </w:p>
        </w:tc>
        <w:tc>
          <w:tcPr>
            <w:tcW w:w="28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9024B" w:rsidRPr="002C7D8B" w:rsidRDefault="0099024B" w:rsidP="002C7D8B">
            <w:pPr>
              <w:widowControl/>
              <w:autoSpaceDE/>
              <w:autoSpaceDN/>
              <w:spacing w:before="100" w:beforeAutospacing="1" w:after="100" w:afterAutospacing="1" w:line="480" w:lineRule="auto"/>
              <w:rPr>
                <w:sz w:val="24"/>
                <w:szCs w:val="24"/>
              </w:rPr>
            </w:pPr>
            <w:r w:rsidRPr="002C7D8B">
              <w:rPr>
                <w:sz w:val="24"/>
                <w:szCs w:val="24"/>
              </w:rPr>
              <w:t>100%</w:t>
            </w:r>
          </w:p>
        </w:tc>
      </w:tr>
    </w:tbl>
    <w:p w:rsidR="002C7D8B" w:rsidRDefault="002C7D8B" w:rsidP="002C7D8B">
      <w:pPr>
        <w:spacing w:before="100" w:beforeAutospacing="1" w:after="100" w:afterAutospacing="1" w:line="480" w:lineRule="auto"/>
        <w:rPr>
          <w:sz w:val="24"/>
          <w:szCs w:val="24"/>
        </w:rPr>
      </w:pPr>
    </w:p>
    <w:p w:rsidR="0099024B" w:rsidRPr="002C7D8B" w:rsidRDefault="00C55789" w:rsidP="002C7D8B">
      <w:pPr>
        <w:spacing w:before="100" w:beforeAutospacing="1" w:after="100" w:afterAutospacing="1" w:line="480" w:lineRule="auto"/>
        <w:rPr>
          <w:sz w:val="24"/>
          <w:szCs w:val="24"/>
        </w:rPr>
      </w:pPr>
      <w:r w:rsidRPr="002C7D8B">
        <w:rPr>
          <w:sz w:val="24"/>
          <w:szCs w:val="24"/>
        </w:rPr>
        <w:t xml:space="preserve">Justification for my asset allocation </w:t>
      </w:r>
    </w:p>
    <w:p w:rsidR="00C55789" w:rsidRPr="002C7D8B" w:rsidRDefault="00B426CE" w:rsidP="002C7D8B">
      <w:pPr>
        <w:spacing w:before="100" w:beforeAutospacing="1" w:after="100" w:afterAutospacing="1" w:line="480" w:lineRule="auto"/>
        <w:ind w:firstLine="720"/>
        <w:rPr>
          <w:sz w:val="24"/>
          <w:szCs w:val="24"/>
        </w:rPr>
      </w:pPr>
      <w:r w:rsidRPr="002C7D8B">
        <w:rPr>
          <w:sz w:val="24"/>
          <w:szCs w:val="24"/>
        </w:rPr>
        <w:t>The general idea behind this asset allocation is to balance risk by dividing assets among different investment vehicles</w:t>
      </w:r>
      <w:r w:rsidR="002C7D8B">
        <w:rPr>
          <w:sz w:val="24"/>
          <w:szCs w:val="24"/>
        </w:rPr>
        <w:t xml:space="preserve"> (</w:t>
      </w:r>
      <w:r w:rsidR="002C7D8B" w:rsidRPr="002C7D8B">
        <w:rPr>
          <w:sz w:val="24"/>
          <w:szCs w:val="24"/>
          <w:shd w:val="clear" w:color="auto" w:fill="FFFFFF"/>
        </w:rPr>
        <w:t>Dierking</w:t>
      </w:r>
      <w:r w:rsidR="002C7D8B">
        <w:rPr>
          <w:sz w:val="24"/>
          <w:szCs w:val="24"/>
          <w:shd w:val="clear" w:color="auto" w:fill="FFFFFF"/>
        </w:rPr>
        <w:t>, 2020</w:t>
      </w:r>
      <w:r w:rsidR="002C7D8B">
        <w:rPr>
          <w:sz w:val="24"/>
          <w:szCs w:val="24"/>
          <w:shd w:val="clear" w:color="auto" w:fill="FFFFFF"/>
        </w:rPr>
        <w:t>)</w:t>
      </w:r>
      <w:r w:rsidRPr="002C7D8B">
        <w:rPr>
          <w:sz w:val="24"/>
          <w:szCs w:val="24"/>
        </w:rPr>
        <w:t xml:space="preserve">. The ultimate goal of asset allocation is to trade-off the risk return. Breaking the idea down, it means that as one asset category increases in value, another decreases and for that reason they get to balance. </w:t>
      </w:r>
      <w:r w:rsidR="00DF6134" w:rsidRPr="002C7D8B">
        <w:rPr>
          <w:sz w:val="24"/>
          <w:szCs w:val="24"/>
        </w:rPr>
        <w:t xml:space="preserve">Investing in mutual funds is a wise idea since they are popular besides the complexity associated with them. Mutual funds can be used for retirement, a huge advantage that makes the investment an awesome one. Most portfolios use an asset allocation model something that also makes them quite effective. This is a model that tell you how much money ought to be put on stocks versus on bonds. Additionally, it would let one know how much should be invested in the U.S. stocks and so is in international stocks. </w:t>
      </w:r>
    </w:p>
    <w:p w:rsidR="00A13624" w:rsidRPr="002C7D8B" w:rsidRDefault="00DF6134" w:rsidP="002C7D8B">
      <w:pPr>
        <w:spacing w:before="100" w:beforeAutospacing="1" w:after="100" w:afterAutospacing="1" w:line="480" w:lineRule="auto"/>
        <w:ind w:firstLine="720"/>
        <w:rPr>
          <w:sz w:val="24"/>
          <w:szCs w:val="24"/>
        </w:rPr>
      </w:pPr>
      <w:r w:rsidRPr="002C7D8B">
        <w:rPr>
          <w:sz w:val="24"/>
          <w:szCs w:val="24"/>
        </w:rPr>
        <w:t>As a be</w:t>
      </w:r>
      <w:r w:rsidR="00F22253" w:rsidRPr="002C7D8B">
        <w:rPr>
          <w:sz w:val="24"/>
          <w:szCs w:val="24"/>
        </w:rPr>
        <w:t>ginner, I choose to start with V</w:t>
      </w:r>
      <w:r w:rsidRPr="002C7D8B">
        <w:rPr>
          <w:sz w:val="24"/>
          <w:szCs w:val="24"/>
        </w:rPr>
        <w:t xml:space="preserve">anguard and Schwab platforms. </w:t>
      </w:r>
      <w:r w:rsidR="00166A3D" w:rsidRPr="002C7D8B">
        <w:rPr>
          <w:sz w:val="24"/>
          <w:szCs w:val="24"/>
        </w:rPr>
        <w:t>Amazon’s Vanguard Total Stock Market Index Fund (VTSMX) will be my initial target</w:t>
      </w:r>
      <w:r w:rsidR="002C7D8B">
        <w:rPr>
          <w:sz w:val="24"/>
          <w:szCs w:val="24"/>
        </w:rPr>
        <w:t xml:space="preserve"> (</w:t>
      </w:r>
      <w:r w:rsidR="002C7D8B" w:rsidRPr="002C7D8B">
        <w:rPr>
          <w:sz w:val="24"/>
          <w:szCs w:val="24"/>
          <w:shd w:val="clear" w:color="auto" w:fill="FFFFFF"/>
        </w:rPr>
        <w:t>Dierking</w:t>
      </w:r>
      <w:r w:rsidR="002C7D8B">
        <w:rPr>
          <w:sz w:val="24"/>
          <w:szCs w:val="24"/>
          <w:shd w:val="clear" w:color="auto" w:fill="FFFFFF"/>
        </w:rPr>
        <w:t>, 2020)</w:t>
      </w:r>
      <w:r w:rsidR="00166A3D" w:rsidRPr="002C7D8B">
        <w:rPr>
          <w:sz w:val="24"/>
          <w:szCs w:val="24"/>
        </w:rPr>
        <w:t>. This investment provides a large market exposure</w:t>
      </w:r>
      <w:r w:rsidR="007E5C53" w:rsidRPr="002C7D8B">
        <w:rPr>
          <w:sz w:val="24"/>
          <w:szCs w:val="24"/>
        </w:rPr>
        <w:t xml:space="preserve"> </w:t>
      </w:r>
      <w:r w:rsidR="00411324" w:rsidRPr="002C7D8B">
        <w:rPr>
          <w:sz w:val="24"/>
          <w:szCs w:val="24"/>
        </w:rPr>
        <w:t>to the entire United States equity market including small, mid, and large-cap g</w:t>
      </w:r>
      <w:r w:rsidR="00936424" w:rsidRPr="002C7D8B">
        <w:rPr>
          <w:sz w:val="24"/>
          <w:szCs w:val="24"/>
        </w:rPr>
        <w:t xml:space="preserve">rowth and value stocks. Investing in this kind of a stock would mean that an investor will not be alone in establishing its </w:t>
      </w:r>
      <w:r w:rsidR="00A13624" w:rsidRPr="002C7D8B">
        <w:rPr>
          <w:sz w:val="24"/>
          <w:szCs w:val="24"/>
        </w:rPr>
        <w:t>performance</w:t>
      </w:r>
      <w:r w:rsidR="00936424" w:rsidRPr="002C7D8B">
        <w:rPr>
          <w:sz w:val="24"/>
          <w:szCs w:val="24"/>
        </w:rPr>
        <w:t xml:space="preserve"> since it is a popular choice that is like</w:t>
      </w:r>
      <w:r w:rsidR="00A13624" w:rsidRPr="002C7D8B">
        <w:rPr>
          <w:sz w:val="24"/>
          <w:szCs w:val="24"/>
        </w:rPr>
        <w:t xml:space="preserve">ly to be owned by everyone from the new investor to those with generational wealth. In April 2019, VTSAX held 3607 stocks. </w:t>
      </w:r>
    </w:p>
    <w:p w:rsidR="00A13624" w:rsidRPr="002C7D8B" w:rsidRDefault="00A13624" w:rsidP="002C7D8B">
      <w:pPr>
        <w:spacing w:before="100" w:beforeAutospacing="1" w:after="100" w:afterAutospacing="1" w:line="480" w:lineRule="auto"/>
        <w:ind w:firstLine="720"/>
        <w:rPr>
          <w:sz w:val="24"/>
          <w:szCs w:val="24"/>
        </w:rPr>
      </w:pPr>
      <w:r w:rsidRPr="002C7D8B">
        <w:rPr>
          <w:sz w:val="24"/>
          <w:szCs w:val="24"/>
        </w:rPr>
        <w:t xml:space="preserve">The VTSAX has performed with a mean annual return of 9.74 percent since it was invented. Admiral shares returned to 6.87 percent since 2000. Clearly, this mutual fund reflects the performance of the overall stock market, a depiction clearly exhibited by the results. </w:t>
      </w:r>
    </w:p>
    <w:p w:rsidR="00A13624" w:rsidRPr="002C7D8B" w:rsidRDefault="00A13624" w:rsidP="002C7D8B">
      <w:pPr>
        <w:spacing w:before="100" w:beforeAutospacing="1" w:after="100" w:afterAutospacing="1" w:line="480" w:lineRule="auto"/>
        <w:rPr>
          <w:sz w:val="24"/>
          <w:szCs w:val="24"/>
        </w:rPr>
      </w:pPr>
    </w:p>
    <w:p w:rsidR="008A2671" w:rsidRPr="002C7D8B" w:rsidRDefault="008A2671" w:rsidP="002C7D8B">
      <w:pPr>
        <w:spacing w:before="100" w:beforeAutospacing="1" w:after="100" w:afterAutospacing="1" w:line="480" w:lineRule="auto"/>
        <w:rPr>
          <w:b/>
          <w:sz w:val="24"/>
          <w:szCs w:val="24"/>
        </w:rPr>
      </w:pPr>
      <w:r w:rsidRPr="002C7D8B">
        <w:rPr>
          <w:b/>
          <w:sz w:val="24"/>
          <w:szCs w:val="24"/>
        </w:rPr>
        <w:t>Overall Portfolio Composition (%)</w:t>
      </w:r>
    </w:p>
    <w:p w:rsidR="008A2671" w:rsidRPr="002C7D8B" w:rsidRDefault="008A2671" w:rsidP="002C7D8B">
      <w:pPr>
        <w:spacing w:before="100" w:beforeAutospacing="1" w:after="100" w:afterAutospacing="1" w:line="480" w:lineRule="auto"/>
        <w:rPr>
          <w:sz w:val="24"/>
          <w:szCs w:val="24"/>
        </w:rPr>
      </w:pPr>
      <w:r w:rsidRPr="002C7D8B">
        <w:rPr>
          <w:sz w:val="24"/>
          <w:szCs w:val="24"/>
        </w:rPr>
        <w:t>Cash</w:t>
      </w:r>
      <w:r w:rsidRPr="002C7D8B">
        <w:rPr>
          <w:sz w:val="24"/>
          <w:szCs w:val="24"/>
        </w:rPr>
        <w:tab/>
      </w:r>
      <w:r w:rsidRPr="002C7D8B">
        <w:rPr>
          <w:sz w:val="24"/>
          <w:szCs w:val="24"/>
        </w:rPr>
        <w:tab/>
      </w:r>
      <w:r w:rsidRPr="002C7D8B">
        <w:rPr>
          <w:sz w:val="24"/>
          <w:szCs w:val="24"/>
        </w:rPr>
        <w:tab/>
      </w:r>
      <w:r w:rsidRPr="002C7D8B">
        <w:rPr>
          <w:sz w:val="24"/>
          <w:szCs w:val="24"/>
        </w:rPr>
        <w:t>0.86%</w:t>
      </w:r>
    </w:p>
    <w:p w:rsidR="008A2671" w:rsidRPr="002C7D8B" w:rsidRDefault="008A2671" w:rsidP="002C7D8B">
      <w:pPr>
        <w:spacing w:before="100" w:beforeAutospacing="1" w:after="100" w:afterAutospacing="1" w:line="480" w:lineRule="auto"/>
        <w:rPr>
          <w:sz w:val="24"/>
          <w:szCs w:val="24"/>
        </w:rPr>
      </w:pPr>
      <w:r w:rsidRPr="002C7D8B">
        <w:rPr>
          <w:sz w:val="24"/>
          <w:szCs w:val="24"/>
        </w:rPr>
        <w:t>Stocks</w:t>
      </w:r>
      <w:r w:rsidRPr="002C7D8B">
        <w:rPr>
          <w:sz w:val="24"/>
          <w:szCs w:val="24"/>
        </w:rPr>
        <w:tab/>
      </w:r>
      <w:r w:rsidRPr="002C7D8B">
        <w:rPr>
          <w:sz w:val="24"/>
          <w:szCs w:val="24"/>
        </w:rPr>
        <w:tab/>
      </w:r>
      <w:r w:rsidRPr="002C7D8B">
        <w:rPr>
          <w:sz w:val="24"/>
          <w:szCs w:val="24"/>
        </w:rPr>
        <w:tab/>
      </w:r>
      <w:r w:rsidRPr="002C7D8B">
        <w:rPr>
          <w:sz w:val="24"/>
          <w:szCs w:val="24"/>
        </w:rPr>
        <w:t>99.14%</w:t>
      </w:r>
    </w:p>
    <w:p w:rsidR="008A2671" w:rsidRPr="002C7D8B" w:rsidRDefault="008A2671" w:rsidP="002C7D8B">
      <w:pPr>
        <w:spacing w:before="100" w:beforeAutospacing="1" w:after="100" w:afterAutospacing="1" w:line="480" w:lineRule="auto"/>
        <w:rPr>
          <w:sz w:val="24"/>
          <w:szCs w:val="24"/>
        </w:rPr>
      </w:pPr>
      <w:r w:rsidRPr="002C7D8B">
        <w:rPr>
          <w:sz w:val="24"/>
          <w:szCs w:val="24"/>
        </w:rPr>
        <w:t>Bonds</w:t>
      </w:r>
      <w:r w:rsidRPr="002C7D8B">
        <w:rPr>
          <w:sz w:val="24"/>
          <w:szCs w:val="24"/>
        </w:rPr>
        <w:tab/>
      </w:r>
      <w:r w:rsidRPr="002C7D8B">
        <w:rPr>
          <w:sz w:val="24"/>
          <w:szCs w:val="24"/>
        </w:rPr>
        <w:tab/>
      </w:r>
      <w:r w:rsidRPr="002C7D8B">
        <w:rPr>
          <w:sz w:val="24"/>
          <w:szCs w:val="24"/>
        </w:rPr>
        <w:tab/>
      </w:r>
      <w:r w:rsidRPr="002C7D8B">
        <w:rPr>
          <w:sz w:val="24"/>
          <w:szCs w:val="24"/>
        </w:rPr>
        <w:t>0.00%</w:t>
      </w:r>
    </w:p>
    <w:p w:rsidR="008A2671" w:rsidRPr="002C7D8B" w:rsidRDefault="008A2671" w:rsidP="002C7D8B">
      <w:pPr>
        <w:spacing w:before="100" w:beforeAutospacing="1" w:after="100" w:afterAutospacing="1" w:line="480" w:lineRule="auto"/>
        <w:rPr>
          <w:sz w:val="24"/>
          <w:szCs w:val="24"/>
        </w:rPr>
      </w:pPr>
      <w:r w:rsidRPr="002C7D8B">
        <w:rPr>
          <w:sz w:val="24"/>
          <w:szCs w:val="24"/>
        </w:rPr>
        <w:t>Others</w:t>
      </w:r>
      <w:r w:rsidRPr="002C7D8B">
        <w:rPr>
          <w:sz w:val="24"/>
          <w:szCs w:val="24"/>
        </w:rPr>
        <w:tab/>
      </w:r>
      <w:r w:rsidRPr="002C7D8B">
        <w:rPr>
          <w:sz w:val="24"/>
          <w:szCs w:val="24"/>
        </w:rPr>
        <w:tab/>
      </w:r>
      <w:r w:rsidRPr="002C7D8B">
        <w:rPr>
          <w:sz w:val="24"/>
          <w:szCs w:val="24"/>
        </w:rPr>
        <w:tab/>
      </w:r>
      <w:r w:rsidRPr="002C7D8B">
        <w:rPr>
          <w:sz w:val="24"/>
          <w:szCs w:val="24"/>
        </w:rPr>
        <w:t>0.00%</w:t>
      </w:r>
    </w:p>
    <w:p w:rsidR="008A2671" w:rsidRPr="002C7D8B" w:rsidRDefault="008A2671" w:rsidP="002C7D8B">
      <w:pPr>
        <w:spacing w:before="100" w:beforeAutospacing="1" w:after="100" w:afterAutospacing="1" w:line="480" w:lineRule="auto"/>
        <w:rPr>
          <w:sz w:val="24"/>
          <w:szCs w:val="24"/>
        </w:rPr>
      </w:pPr>
      <w:r w:rsidRPr="002C7D8B">
        <w:rPr>
          <w:sz w:val="24"/>
          <w:szCs w:val="24"/>
        </w:rPr>
        <w:t>Preferred</w:t>
      </w:r>
      <w:r w:rsidRPr="002C7D8B">
        <w:rPr>
          <w:sz w:val="24"/>
          <w:szCs w:val="24"/>
        </w:rPr>
        <w:tab/>
      </w:r>
      <w:r w:rsidRPr="002C7D8B">
        <w:rPr>
          <w:sz w:val="24"/>
          <w:szCs w:val="24"/>
        </w:rPr>
        <w:tab/>
      </w:r>
      <w:r w:rsidRPr="002C7D8B">
        <w:rPr>
          <w:sz w:val="24"/>
          <w:szCs w:val="24"/>
        </w:rPr>
        <w:t>0.00%</w:t>
      </w:r>
    </w:p>
    <w:p w:rsidR="00A13624" w:rsidRPr="002C7D8B" w:rsidRDefault="008A2671" w:rsidP="002C7D8B">
      <w:pPr>
        <w:spacing w:before="100" w:beforeAutospacing="1" w:after="100" w:afterAutospacing="1" w:line="480" w:lineRule="auto"/>
        <w:rPr>
          <w:sz w:val="24"/>
          <w:szCs w:val="24"/>
        </w:rPr>
      </w:pPr>
      <w:r w:rsidRPr="002C7D8B">
        <w:rPr>
          <w:sz w:val="24"/>
          <w:szCs w:val="24"/>
        </w:rPr>
        <w:t>Convertible</w:t>
      </w:r>
      <w:r w:rsidRPr="002C7D8B">
        <w:rPr>
          <w:sz w:val="24"/>
          <w:szCs w:val="24"/>
        </w:rPr>
        <w:tab/>
      </w:r>
      <w:r w:rsidRPr="002C7D8B">
        <w:rPr>
          <w:sz w:val="24"/>
          <w:szCs w:val="24"/>
        </w:rPr>
        <w:tab/>
      </w:r>
      <w:r w:rsidRPr="002C7D8B">
        <w:rPr>
          <w:sz w:val="24"/>
          <w:szCs w:val="24"/>
        </w:rPr>
        <w:t>0.00%</w:t>
      </w:r>
    </w:p>
    <w:p w:rsidR="008A2671" w:rsidRPr="002C7D8B" w:rsidRDefault="008A2671" w:rsidP="002C7D8B">
      <w:pPr>
        <w:spacing w:before="100" w:beforeAutospacing="1" w:after="100" w:afterAutospacing="1" w:line="480" w:lineRule="auto"/>
        <w:rPr>
          <w:b/>
          <w:sz w:val="24"/>
          <w:szCs w:val="24"/>
        </w:rPr>
      </w:pPr>
    </w:p>
    <w:p w:rsidR="008A2671" w:rsidRPr="002C7D8B" w:rsidRDefault="008A2671" w:rsidP="002C7D8B">
      <w:pPr>
        <w:spacing w:before="100" w:beforeAutospacing="1" w:after="100" w:afterAutospacing="1" w:line="480" w:lineRule="auto"/>
        <w:rPr>
          <w:b/>
          <w:sz w:val="24"/>
          <w:szCs w:val="24"/>
        </w:rPr>
      </w:pPr>
      <w:r w:rsidRPr="002C7D8B">
        <w:rPr>
          <w:b/>
          <w:sz w:val="24"/>
          <w:szCs w:val="24"/>
        </w:rPr>
        <w:t>Performance &amp; Risk</w:t>
      </w:r>
    </w:p>
    <w:p w:rsidR="008A2671" w:rsidRPr="002C7D8B" w:rsidRDefault="008A2671" w:rsidP="002C7D8B">
      <w:pPr>
        <w:spacing w:before="100" w:beforeAutospacing="1" w:after="100" w:afterAutospacing="1" w:line="480" w:lineRule="auto"/>
        <w:rPr>
          <w:sz w:val="24"/>
          <w:szCs w:val="24"/>
        </w:rPr>
      </w:pPr>
      <w:r w:rsidRPr="002C7D8B">
        <w:rPr>
          <w:sz w:val="24"/>
          <w:szCs w:val="24"/>
        </w:rPr>
        <w:t>YTD Return</w:t>
      </w:r>
      <w:r w:rsidRPr="002C7D8B">
        <w:rPr>
          <w:sz w:val="24"/>
          <w:szCs w:val="24"/>
        </w:rPr>
        <w:tab/>
      </w:r>
      <w:r w:rsidRPr="002C7D8B">
        <w:rPr>
          <w:sz w:val="24"/>
          <w:szCs w:val="24"/>
        </w:rPr>
        <w:tab/>
      </w:r>
      <w:r w:rsidRPr="002C7D8B">
        <w:rPr>
          <w:sz w:val="24"/>
          <w:szCs w:val="24"/>
        </w:rPr>
        <w:tab/>
      </w:r>
      <w:r w:rsidRPr="002C7D8B">
        <w:rPr>
          <w:sz w:val="24"/>
          <w:szCs w:val="24"/>
        </w:rPr>
        <w:t>9.55%</w:t>
      </w:r>
    </w:p>
    <w:p w:rsidR="008A2671" w:rsidRPr="002C7D8B" w:rsidRDefault="008A2671" w:rsidP="002C7D8B">
      <w:pPr>
        <w:spacing w:before="100" w:beforeAutospacing="1" w:after="100" w:afterAutospacing="1" w:line="480" w:lineRule="auto"/>
        <w:rPr>
          <w:sz w:val="24"/>
          <w:szCs w:val="24"/>
        </w:rPr>
      </w:pPr>
      <w:r w:rsidRPr="002C7D8B">
        <w:rPr>
          <w:sz w:val="24"/>
          <w:szCs w:val="24"/>
        </w:rPr>
        <w:t>5y Average Return</w:t>
      </w:r>
      <w:r w:rsidRPr="002C7D8B">
        <w:rPr>
          <w:sz w:val="24"/>
          <w:szCs w:val="24"/>
        </w:rPr>
        <w:tab/>
      </w:r>
      <w:r w:rsidRPr="002C7D8B">
        <w:rPr>
          <w:sz w:val="24"/>
          <w:szCs w:val="24"/>
        </w:rPr>
        <w:tab/>
      </w:r>
      <w:r w:rsidRPr="002C7D8B">
        <w:rPr>
          <w:sz w:val="24"/>
          <w:szCs w:val="24"/>
        </w:rPr>
        <w:t>10.95%</w:t>
      </w:r>
    </w:p>
    <w:p w:rsidR="008A2671" w:rsidRPr="002C7D8B" w:rsidRDefault="008A2671" w:rsidP="002C7D8B">
      <w:pPr>
        <w:spacing w:before="100" w:beforeAutospacing="1" w:after="100" w:afterAutospacing="1" w:line="480" w:lineRule="auto"/>
        <w:rPr>
          <w:sz w:val="24"/>
          <w:szCs w:val="24"/>
        </w:rPr>
      </w:pPr>
      <w:r w:rsidRPr="002C7D8B">
        <w:rPr>
          <w:sz w:val="24"/>
          <w:szCs w:val="24"/>
        </w:rPr>
        <w:t>Rank in Category (ytd)</w:t>
      </w:r>
      <w:r w:rsidRPr="002C7D8B">
        <w:rPr>
          <w:sz w:val="24"/>
          <w:szCs w:val="24"/>
        </w:rPr>
        <w:tab/>
      </w:r>
      <w:r w:rsidRPr="002C7D8B">
        <w:rPr>
          <w:sz w:val="24"/>
          <w:szCs w:val="24"/>
        </w:rPr>
        <w:t>38</w:t>
      </w:r>
    </w:p>
    <w:p w:rsidR="008A2671" w:rsidRPr="002C7D8B" w:rsidRDefault="008A2671" w:rsidP="002C7D8B">
      <w:pPr>
        <w:spacing w:before="100" w:beforeAutospacing="1" w:after="100" w:afterAutospacing="1" w:line="480" w:lineRule="auto"/>
        <w:rPr>
          <w:sz w:val="24"/>
          <w:szCs w:val="24"/>
        </w:rPr>
      </w:pPr>
      <w:r w:rsidRPr="002C7D8B">
        <w:rPr>
          <w:sz w:val="24"/>
          <w:szCs w:val="24"/>
        </w:rPr>
        <w:t>% Rank in Category (ytd)</w:t>
      </w:r>
      <w:r w:rsidRPr="002C7D8B">
        <w:rPr>
          <w:sz w:val="24"/>
          <w:szCs w:val="24"/>
        </w:rPr>
        <w:tab/>
      </w:r>
      <w:r w:rsidRPr="002C7D8B">
        <w:rPr>
          <w:sz w:val="24"/>
          <w:szCs w:val="24"/>
        </w:rPr>
        <w:t>N/A</w:t>
      </w:r>
    </w:p>
    <w:p w:rsidR="008A2671" w:rsidRPr="002C7D8B" w:rsidRDefault="008A2671" w:rsidP="002C7D8B">
      <w:pPr>
        <w:spacing w:before="100" w:beforeAutospacing="1" w:after="100" w:afterAutospacing="1" w:line="480" w:lineRule="auto"/>
        <w:rPr>
          <w:sz w:val="24"/>
          <w:szCs w:val="24"/>
        </w:rPr>
      </w:pPr>
      <w:r w:rsidRPr="002C7D8B">
        <w:rPr>
          <w:sz w:val="24"/>
          <w:szCs w:val="24"/>
        </w:rPr>
        <w:t>Beta (5Y Monthly)</w:t>
      </w:r>
      <w:r w:rsidRPr="002C7D8B">
        <w:rPr>
          <w:sz w:val="24"/>
          <w:szCs w:val="24"/>
        </w:rPr>
        <w:tab/>
      </w:r>
      <w:r w:rsidRPr="002C7D8B">
        <w:rPr>
          <w:sz w:val="24"/>
          <w:szCs w:val="24"/>
        </w:rPr>
        <w:tab/>
      </w:r>
      <w:r w:rsidRPr="002C7D8B">
        <w:rPr>
          <w:sz w:val="24"/>
          <w:szCs w:val="24"/>
        </w:rPr>
        <w:t>1.02</w:t>
      </w:r>
    </w:p>
    <w:p w:rsidR="0066105D" w:rsidRPr="002C7D8B" w:rsidRDefault="0066105D" w:rsidP="002C7D8B">
      <w:pPr>
        <w:spacing w:before="100" w:beforeAutospacing="1" w:after="100" w:afterAutospacing="1" w:line="480" w:lineRule="auto"/>
        <w:rPr>
          <w:sz w:val="24"/>
          <w:szCs w:val="24"/>
        </w:rPr>
      </w:pPr>
    </w:p>
    <w:p w:rsidR="0066105D" w:rsidRPr="002C7D8B" w:rsidRDefault="0066105D" w:rsidP="002C7D8B">
      <w:pPr>
        <w:spacing w:before="100" w:beforeAutospacing="1" w:after="100" w:afterAutospacing="1" w:line="480" w:lineRule="auto"/>
        <w:rPr>
          <w:sz w:val="24"/>
          <w:szCs w:val="24"/>
        </w:rPr>
      </w:pPr>
      <w:r w:rsidRPr="002C7D8B">
        <w:rPr>
          <w:sz w:val="24"/>
          <w:szCs w:val="24"/>
        </w:rPr>
        <w:t>Amazon’s Institutional Ownership</w:t>
      </w:r>
    </w:p>
    <w:p w:rsidR="0066105D" w:rsidRPr="002C7D8B" w:rsidRDefault="0066105D" w:rsidP="002C7D8B">
      <w:pPr>
        <w:spacing w:before="100" w:beforeAutospacing="1" w:after="100" w:afterAutospacing="1" w:line="480" w:lineRule="auto"/>
        <w:rPr>
          <w:sz w:val="24"/>
          <w:szCs w:val="24"/>
        </w:rPr>
      </w:pPr>
      <w:r w:rsidRPr="002C7D8B">
        <w:rPr>
          <w:sz w:val="24"/>
          <w:szCs w:val="24"/>
        </w:rPr>
        <w:t>Mutual fund holders</w:t>
      </w:r>
      <w:r w:rsidRPr="002C7D8B">
        <w:rPr>
          <w:sz w:val="24"/>
          <w:szCs w:val="24"/>
        </w:rPr>
        <w:tab/>
        <w:t>32.16%</w:t>
      </w:r>
    </w:p>
    <w:p w:rsidR="0066105D" w:rsidRPr="002C7D8B" w:rsidRDefault="0066105D" w:rsidP="002C7D8B">
      <w:pPr>
        <w:spacing w:before="100" w:beforeAutospacing="1" w:after="100" w:afterAutospacing="1" w:line="480" w:lineRule="auto"/>
        <w:rPr>
          <w:sz w:val="24"/>
          <w:szCs w:val="24"/>
        </w:rPr>
      </w:pPr>
      <w:r w:rsidRPr="002C7D8B">
        <w:rPr>
          <w:sz w:val="24"/>
          <w:szCs w:val="24"/>
        </w:rPr>
        <w:t>Other institutional</w:t>
      </w:r>
      <w:r w:rsidRPr="002C7D8B">
        <w:rPr>
          <w:sz w:val="24"/>
          <w:szCs w:val="24"/>
        </w:rPr>
        <w:tab/>
        <w:t>25.54%</w:t>
      </w:r>
    </w:p>
    <w:p w:rsidR="0066105D" w:rsidRPr="002C7D8B" w:rsidRDefault="0066105D" w:rsidP="002C7D8B">
      <w:pPr>
        <w:spacing w:before="100" w:beforeAutospacing="1" w:after="100" w:afterAutospacing="1" w:line="480" w:lineRule="auto"/>
        <w:rPr>
          <w:sz w:val="24"/>
          <w:szCs w:val="24"/>
        </w:rPr>
      </w:pPr>
      <w:r w:rsidRPr="002C7D8B">
        <w:rPr>
          <w:sz w:val="24"/>
          <w:szCs w:val="24"/>
        </w:rPr>
        <w:t>Individual stakeholders</w:t>
      </w:r>
      <w:r w:rsidRPr="002C7D8B">
        <w:rPr>
          <w:sz w:val="24"/>
          <w:szCs w:val="24"/>
        </w:rPr>
        <w:tab/>
        <w:t>11.89%</w:t>
      </w:r>
      <w:r w:rsidRPr="002C7D8B">
        <w:rPr>
          <w:sz w:val="24"/>
          <w:szCs w:val="24"/>
        </w:rPr>
        <w:t xml:space="preserve"> </w:t>
      </w:r>
    </w:p>
    <w:p w:rsidR="0066105D" w:rsidRPr="002C7D8B" w:rsidRDefault="0066105D" w:rsidP="002C7D8B">
      <w:pPr>
        <w:spacing w:before="100" w:beforeAutospacing="1" w:after="100" w:afterAutospacing="1" w:line="480" w:lineRule="auto"/>
        <w:rPr>
          <w:sz w:val="24"/>
          <w:szCs w:val="24"/>
        </w:rPr>
      </w:pPr>
    </w:p>
    <w:p w:rsidR="0066105D" w:rsidRPr="002C7D8B" w:rsidRDefault="0066105D" w:rsidP="002C7D8B">
      <w:pPr>
        <w:spacing w:before="100" w:beforeAutospacing="1" w:after="100" w:afterAutospacing="1" w:line="480" w:lineRule="auto"/>
        <w:rPr>
          <w:sz w:val="24"/>
          <w:szCs w:val="24"/>
        </w:rPr>
      </w:pPr>
      <w:r w:rsidRPr="002C7D8B">
        <w:rPr>
          <w:sz w:val="24"/>
          <w:szCs w:val="24"/>
        </w:rPr>
        <w:t>Top 10 Mutual Funds Holding Amazon.com Inc.</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501"/>
        <w:gridCol w:w="754"/>
        <w:gridCol w:w="1090"/>
        <w:gridCol w:w="1674"/>
        <w:gridCol w:w="1501"/>
        <w:gridCol w:w="900"/>
      </w:tblGrid>
      <w:tr w:rsidR="002C7D8B" w:rsidRPr="002C7D8B" w:rsidTr="0066105D">
        <w:trPr>
          <w:tblHeader/>
        </w:trPr>
        <w:tc>
          <w:tcPr>
            <w:tcW w:w="0" w:type="auto"/>
            <w:shd w:val="clear" w:color="auto" w:fill="auto"/>
            <w:tcMar>
              <w:top w:w="0" w:type="dxa"/>
              <w:left w:w="0" w:type="dxa"/>
              <w:bottom w:w="60" w:type="dxa"/>
              <w:right w:w="0" w:type="dxa"/>
            </w:tcMar>
            <w:vAlign w:val="bottom"/>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rPr>
              <w:t>Mutual fund</w:t>
            </w:r>
          </w:p>
        </w:tc>
        <w:tc>
          <w:tcPr>
            <w:tcW w:w="0" w:type="auto"/>
            <w:shd w:val="clear" w:color="auto" w:fill="auto"/>
            <w:noWrap/>
            <w:tcMar>
              <w:top w:w="0" w:type="dxa"/>
              <w:left w:w="180" w:type="dxa"/>
              <w:bottom w:w="60" w:type="dxa"/>
              <w:right w:w="0" w:type="dxa"/>
            </w:tcMar>
            <w:vAlign w:val="bottom"/>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66105D">
              <w:rPr>
                <w:b/>
                <w:bCs/>
                <w:sz w:val="24"/>
                <w:szCs w:val="24"/>
              </w:rPr>
              <w:t>Stake</w:t>
            </w:r>
          </w:p>
        </w:tc>
        <w:tc>
          <w:tcPr>
            <w:tcW w:w="0" w:type="auto"/>
            <w:shd w:val="clear" w:color="auto" w:fill="auto"/>
            <w:noWrap/>
            <w:tcMar>
              <w:top w:w="0" w:type="dxa"/>
              <w:left w:w="180" w:type="dxa"/>
              <w:bottom w:w="60" w:type="dxa"/>
              <w:right w:w="0" w:type="dxa"/>
            </w:tcMar>
            <w:vAlign w:val="bottom"/>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66105D">
              <w:rPr>
                <w:b/>
                <w:bCs/>
                <w:sz w:val="24"/>
                <w:szCs w:val="24"/>
              </w:rPr>
              <w:t>Shares</w:t>
            </w:r>
            <w:r w:rsidRPr="0066105D">
              <w:rPr>
                <w:b/>
                <w:bCs/>
                <w:sz w:val="24"/>
                <w:szCs w:val="24"/>
              </w:rPr>
              <w:br/>
              <w:t>owned</w:t>
            </w:r>
          </w:p>
        </w:tc>
        <w:tc>
          <w:tcPr>
            <w:tcW w:w="0" w:type="auto"/>
            <w:shd w:val="clear" w:color="auto" w:fill="auto"/>
            <w:noWrap/>
            <w:tcMar>
              <w:top w:w="0" w:type="dxa"/>
              <w:left w:w="180" w:type="dxa"/>
              <w:bottom w:w="60" w:type="dxa"/>
              <w:right w:w="0" w:type="dxa"/>
            </w:tcMar>
            <w:vAlign w:val="bottom"/>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66105D">
              <w:rPr>
                <w:b/>
                <w:bCs/>
                <w:sz w:val="24"/>
                <w:szCs w:val="24"/>
              </w:rPr>
              <w:t>Total value ($)</w:t>
            </w:r>
          </w:p>
        </w:tc>
        <w:tc>
          <w:tcPr>
            <w:tcW w:w="0" w:type="auto"/>
            <w:shd w:val="clear" w:color="auto" w:fill="auto"/>
            <w:noWrap/>
            <w:tcMar>
              <w:top w:w="0" w:type="dxa"/>
              <w:left w:w="180" w:type="dxa"/>
              <w:bottom w:w="60" w:type="dxa"/>
              <w:right w:w="0" w:type="dxa"/>
            </w:tcMar>
            <w:vAlign w:val="bottom"/>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66105D">
              <w:rPr>
                <w:b/>
                <w:bCs/>
                <w:sz w:val="24"/>
                <w:szCs w:val="24"/>
              </w:rPr>
              <w:t>Shares</w:t>
            </w:r>
            <w:r w:rsidRPr="0066105D">
              <w:rPr>
                <w:b/>
                <w:bCs/>
                <w:sz w:val="24"/>
                <w:szCs w:val="24"/>
              </w:rPr>
              <w:br/>
              <w:t>bought / sold</w:t>
            </w:r>
          </w:p>
        </w:tc>
        <w:tc>
          <w:tcPr>
            <w:tcW w:w="0" w:type="auto"/>
            <w:shd w:val="clear" w:color="auto" w:fill="auto"/>
            <w:noWrap/>
            <w:tcMar>
              <w:top w:w="0" w:type="dxa"/>
              <w:left w:w="180" w:type="dxa"/>
              <w:bottom w:w="60" w:type="dxa"/>
              <w:right w:w="0" w:type="dxa"/>
            </w:tcMar>
            <w:vAlign w:val="bottom"/>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66105D">
              <w:rPr>
                <w:b/>
                <w:bCs/>
                <w:sz w:val="24"/>
                <w:szCs w:val="24"/>
              </w:rPr>
              <w:t>Total</w:t>
            </w:r>
            <w:r w:rsidRPr="0066105D">
              <w:rPr>
                <w:b/>
                <w:bCs/>
                <w:sz w:val="24"/>
                <w:szCs w:val="24"/>
              </w:rPr>
              <w:br/>
              <w:t>change</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Vang</w:t>
            </w:r>
            <w:r w:rsidRPr="002C7D8B">
              <w:rPr>
                <w:b/>
                <w:bCs/>
                <w:sz w:val="24"/>
                <w:szCs w:val="24"/>
                <w:bdr w:val="none" w:sz="0" w:space="0" w:color="auto" w:frame="1"/>
              </w:rPr>
              <w:t>uard Total Stock Market Index Fund</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2.44%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12,141,626</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22,871,787,978</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+208,308</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+1.75%</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Vanguard 500 Index Fund</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1.70%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8,471,136</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15,957,502,440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+48,874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+0.58%</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SPDR S&amp;P 500 ETF</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0.90%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4,476,535</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8,432,672,806</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+3,500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+0.08%</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Gove</w:t>
            </w:r>
            <w:r w:rsidRPr="002C7D8B">
              <w:rPr>
                <w:b/>
                <w:bCs/>
                <w:sz w:val="24"/>
                <w:szCs w:val="24"/>
                <w:bdr w:val="none" w:sz="0" w:space="0" w:color="auto" w:frame="1"/>
              </w:rPr>
              <w:t>rnment Pension Fund - Global (The)</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0.85%</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4,226,697</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7,962,040,474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+15,397</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+0.37%</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 xml:space="preserve">Fidelity </w:t>
            </w:r>
            <w:r w:rsidRPr="002C7D8B">
              <w:rPr>
                <w:b/>
                <w:bCs/>
                <w:sz w:val="24"/>
                <w:szCs w:val="24"/>
                <w:bdr w:val="none" w:sz="0" w:space="0" w:color="auto" w:frame="1"/>
              </w:rPr>
              <w:t>Contra fund</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0.85%</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4,207,147</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7,925,213,161</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-40,700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-0.96%</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American Funds Growth Fund of Ame</w:t>
            </w:r>
            <w:r w:rsidRPr="002C7D8B">
              <w:rPr>
                <w:b/>
                <w:bCs/>
                <w:sz w:val="24"/>
                <w:szCs w:val="24"/>
                <w:bdr w:val="none" w:sz="0" w:space="0" w:color="auto" w:frame="1"/>
              </w:rPr>
              <w:t>rica</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0.84%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4,194,198</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7,900,820,483</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+6,803</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+0.16%</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Invesco QQQ Trust</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0.79%</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3,952,177</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7,444,913,424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+44,555</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+1.14%</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Vanguard Institutional Index Fund</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0.74%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3,698,688</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6,967,403,520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-30,200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-0.81%</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Fidelity 500 Index Fund</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0.74%</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3,674,258</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6,921,383,508</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+59,112</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+1.64%</w:t>
            </w:r>
          </w:p>
        </w:tc>
      </w:tr>
      <w:tr w:rsidR="002C7D8B" w:rsidRPr="002C7D8B" w:rsidTr="0066105D">
        <w:trPr>
          <w:trHeight w:val="570"/>
        </w:trPr>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rPr>
                <w:b/>
                <w:bCs/>
                <w:sz w:val="24"/>
                <w:szCs w:val="24"/>
              </w:rPr>
            </w:pPr>
            <w:r w:rsidRPr="0066105D">
              <w:rPr>
                <w:b/>
                <w:bCs/>
                <w:sz w:val="24"/>
                <w:szCs w:val="24"/>
                <w:bdr w:val="none" w:sz="0" w:space="0" w:color="auto" w:frame="1"/>
              </w:rPr>
              <w:t>T Ro</w:t>
            </w:r>
            <w:r w:rsidRPr="002C7D8B">
              <w:rPr>
                <w:b/>
                <w:bCs/>
                <w:sz w:val="24"/>
                <w:szCs w:val="24"/>
                <w:bdr w:val="none" w:sz="0" w:space="0" w:color="auto" w:frame="1"/>
              </w:rPr>
              <w:t>we Price Blue Chip Growth Fund</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0.67%</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3,326,620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sz w:val="24"/>
                <w:szCs w:val="24"/>
              </w:rPr>
            </w:pPr>
            <w:r w:rsidRPr="0066105D">
              <w:rPr>
                <w:sz w:val="24"/>
                <w:szCs w:val="24"/>
              </w:rPr>
              <w:t>6,266,520,425</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+24,820</w:t>
            </w:r>
          </w:p>
        </w:tc>
        <w:tc>
          <w:tcPr>
            <w:tcW w:w="0" w:type="auto"/>
            <w:shd w:val="clear" w:color="auto" w:fill="auto"/>
            <w:tcMar>
              <w:top w:w="75" w:type="dxa"/>
              <w:left w:w="0" w:type="dxa"/>
              <w:bottom w:w="75" w:type="dxa"/>
              <w:right w:w="0" w:type="dxa"/>
            </w:tcMar>
            <w:vAlign w:val="center"/>
            <w:hideMark/>
          </w:tcPr>
          <w:p w:rsidR="0066105D" w:rsidRPr="0066105D" w:rsidRDefault="0066105D" w:rsidP="002C7D8B">
            <w:pPr>
              <w:widowControl/>
              <w:autoSpaceDE/>
              <w:autoSpaceDN/>
              <w:spacing w:before="100" w:beforeAutospacing="1" w:after="100" w:afterAutospacing="1" w:line="480" w:lineRule="auto"/>
              <w:jc w:val="right"/>
              <w:rPr>
                <w:b/>
                <w:bCs/>
                <w:sz w:val="24"/>
                <w:szCs w:val="24"/>
              </w:rPr>
            </w:pPr>
            <w:r w:rsidRPr="002C7D8B">
              <w:rPr>
                <w:b/>
                <w:bCs/>
                <w:sz w:val="24"/>
                <w:szCs w:val="24"/>
                <w:bdr w:val="none" w:sz="0" w:space="0" w:color="auto" w:frame="1"/>
              </w:rPr>
              <w:t>+0.75%</w:t>
            </w:r>
          </w:p>
        </w:tc>
      </w:tr>
    </w:tbl>
    <w:p w:rsidR="0066105D" w:rsidRPr="002C7D8B" w:rsidRDefault="0066105D" w:rsidP="002C7D8B">
      <w:pPr>
        <w:spacing w:before="100" w:beforeAutospacing="1" w:after="100" w:afterAutospacing="1" w:line="480" w:lineRule="auto"/>
        <w:rPr>
          <w:sz w:val="24"/>
          <w:szCs w:val="24"/>
        </w:rPr>
      </w:pPr>
    </w:p>
    <w:p w:rsidR="00E71E5C" w:rsidRPr="002C7D8B" w:rsidRDefault="00E71E5C" w:rsidP="002C7D8B">
      <w:pPr>
        <w:spacing w:before="100" w:beforeAutospacing="1" w:after="100" w:afterAutospacing="1" w:line="480" w:lineRule="auto"/>
        <w:rPr>
          <w:sz w:val="24"/>
          <w:szCs w:val="24"/>
        </w:rPr>
      </w:pPr>
      <w:r w:rsidRPr="002C7D8B">
        <w:rPr>
          <w:sz w:val="24"/>
          <w:szCs w:val="24"/>
        </w:rPr>
        <w:tab/>
        <w:t xml:space="preserve">The other asset category for my plan would be 17 percent of real estate funds. </w:t>
      </w:r>
    </w:p>
    <w:p w:rsidR="008A2671" w:rsidRPr="002C7D8B" w:rsidRDefault="008A2671" w:rsidP="002C7D8B">
      <w:pPr>
        <w:spacing w:before="100" w:beforeAutospacing="1" w:after="100" w:afterAutospacing="1" w:line="480" w:lineRule="auto"/>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2C7D8B" w:rsidRDefault="002C7D8B" w:rsidP="002C7D8B">
      <w:pPr>
        <w:spacing w:before="100" w:beforeAutospacing="1" w:after="100" w:afterAutospacing="1" w:line="480" w:lineRule="auto"/>
        <w:jc w:val="center"/>
        <w:rPr>
          <w:sz w:val="24"/>
          <w:szCs w:val="24"/>
        </w:rPr>
      </w:pPr>
    </w:p>
    <w:p w:rsidR="008A2671" w:rsidRPr="002C7D8B" w:rsidRDefault="008A2671" w:rsidP="002C7D8B">
      <w:pPr>
        <w:spacing w:before="100" w:beforeAutospacing="1" w:after="100" w:afterAutospacing="1" w:line="480" w:lineRule="auto"/>
        <w:jc w:val="center"/>
        <w:rPr>
          <w:sz w:val="24"/>
          <w:szCs w:val="24"/>
        </w:rPr>
      </w:pPr>
      <w:r w:rsidRPr="002C7D8B">
        <w:rPr>
          <w:sz w:val="24"/>
          <w:szCs w:val="24"/>
        </w:rPr>
        <w:t>References</w:t>
      </w:r>
    </w:p>
    <w:p w:rsidR="002C7D8B" w:rsidRDefault="0066105D" w:rsidP="002C7D8B">
      <w:pPr>
        <w:spacing w:before="100" w:beforeAutospacing="1" w:after="100" w:afterAutospacing="1" w:line="480" w:lineRule="auto"/>
        <w:ind w:left="720" w:hanging="720"/>
        <w:rPr>
          <w:sz w:val="24"/>
          <w:szCs w:val="24"/>
          <w:shd w:val="clear" w:color="auto" w:fill="FFFFFF"/>
        </w:rPr>
      </w:pPr>
      <w:r w:rsidRPr="002C7D8B">
        <w:rPr>
          <w:sz w:val="24"/>
          <w:szCs w:val="24"/>
          <w:shd w:val="clear" w:color="auto" w:fill="FFFFFF"/>
        </w:rPr>
        <w:t xml:space="preserve">Dierking, D. (2020, March 4). Top 5 Mutual Fund Holders of Amazon. Retrieved April 2, 2020, from Investopedia website: </w:t>
      </w:r>
      <w:hyperlink r:id="rId7" w:history="1">
        <w:r w:rsidR="002C7D8B" w:rsidRPr="00967382">
          <w:rPr>
            <w:rStyle w:val="Hyperlink"/>
            <w:sz w:val="24"/>
            <w:szCs w:val="24"/>
            <w:shd w:val="clear" w:color="auto" w:fill="FFFFFF"/>
          </w:rPr>
          <w:t>https://www.investopedia.com/articles/investing/031416/top-5-mutual-fund-holders-amazon-inc-amzn-agthx.asp</w:t>
        </w:r>
      </w:hyperlink>
    </w:p>
    <w:p w:rsidR="00E71E5C" w:rsidRDefault="00E71E5C" w:rsidP="002C7D8B">
      <w:pPr>
        <w:spacing w:before="100" w:beforeAutospacing="1" w:after="100" w:afterAutospacing="1" w:line="480" w:lineRule="auto"/>
        <w:ind w:left="720" w:hanging="720"/>
        <w:rPr>
          <w:sz w:val="24"/>
          <w:szCs w:val="24"/>
          <w:shd w:val="clear" w:color="auto" w:fill="FFFFFF"/>
        </w:rPr>
      </w:pPr>
      <w:r w:rsidRPr="002C7D8B">
        <w:rPr>
          <w:sz w:val="24"/>
          <w:szCs w:val="24"/>
          <w:shd w:val="clear" w:color="auto" w:fill="FFFFFF"/>
        </w:rPr>
        <w:t xml:space="preserve">JOHNSTON, M. (2020, March 16). The 4 Best S&amp;P 500 Index Funds. Retrieved from Investopedia website: </w:t>
      </w:r>
      <w:hyperlink r:id="rId8" w:history="1">
        <w:r w:rsidR="002C7D8B" w:rsidRPr="00967382">
          <w:rPr>
            <w:rStyle w:val="Hyperlink"/>
            <w:sz w:val="24"/>
            <w:szCs w:val="24"/>
            <w:shd w:val="clear" w:color="auto" w:fill="FFFFFF"/>
          </w:rPr>
          <w:t>https://www.investopedia.com/articles/markets/101415/4-best-sp-500-index-funds.asp</w:t>
        </w:r>
      </w:hyperlink>
    </w:p>
    <w:p w:rsidR="002C7D8B" w:rsidRDefault="002C7D8B" w:rsidP="002C7D8B">
      <w:pPr>
        <w:spacing w:before="100" w:beforeAutospacing="1" w:after="100" w:afterAutospacing="1" w:line="480" w:lineRule="auto"/>
        <w:ind w:left="720" w:hanging="720"/>
        <w:rPr>
          <w:sz w:val="24"/>
          <w:szCs w:val="24"/>
        </w:rPr>
      </w:pPr>
      <w:r w:rsidRPr="002C7D8B">
        <w:rPr>
          <w:sz w:val="24"/>
          <w:szCs w:val="24"/>
        </w:rPr>
        <w:t xml:space="preserve">Sethi, R. (2019, April 7). Diversified portfolio examples: How to balance your investments. Retrieved from I Will Teach You To Be Rich website: </w:t>
      </w:r>
      <w:hyperlink r:id="rId9" w:history="1">
        <w:r w:rsidRPr="00967382">
          <w:rPr>
            <w:rStyle w:val="Hyperlink"/>
            <w:sz w:val="24"/>
            <w:szCs w:val="24"/>
          </w:rPr>
          <w:t>https://www.iwillteachyoutoberich.com/blog/diversified-portfolio-examples/</w:t>
        </w:r>
      </w:hyperlink>
    </w:p>
    <w:p w:rsidR="002C7D8B" w:rsidRDefault="008A2671" w:rsidP="002C7D8B">
      <w:pPr>
        <w:spacing w:before="100" w:beforeAutospacing="1" w:after="100" w:afterAutospacing="1" w:line="480" w:lineRule="auto"/>
        <w:ind w:left="720" w:hanging="720"/>
        <w:rPr>
          <w:sz w:val="24"/>
          <w:szCs w:val="24"/>
        </w:rPr>
      </w:pPr>
      <w:r w:rsidRPr="002C7D8B">
        <w:rPr>
          <w:sz w:val="24"/>
          <w:szCs w:val="24"/>
        </w:rPr>
        <w:t xml:space="preserve">VTSAX Review: Here’s What to Know Before You Invest. (2019, May 28). Retrieved April 2, 2020, from Personal Finance for Beginners website: </w:t>
      </w:r>
      <w:hyperlink r:id="rId10" w:history="1">
        <w:r w:rsidR="002C7D8B" w:rsidRPr="00967382">
          <w:rPr>
            <w:rStyle w:val="Hyperlink"/>
            <w:sz w:val="24"/>
            <w:szCs w:val="24"/>
          </w:rPr>
          <w:t>https://www.personalfinanceforbeginners.com/vtsax-review/</w:t>
        </w:r>
      </w:hyperlink>
    </w:p>
    <w:p w:rsidR="0066105D" w:rsidRDefault="0066105D" w:rsidP="002C7D8B">
      <w:pPr>
        <w:spacing w:before="100" w:beforeAutospacing="1" w:after="100" w:afterAutospacing="1" w:line="480" w:lineRule="auto"/>
        <w:ind w:left="720" w:hanging="720"/>
        <w:rPr>
          <w:sz w:val="24"/>
          <w:szCs w:val="24"/>
        </w:rPr>
      </w:pPr>
      <w:r w:rsidRPr="002C7D8B">
        <w:rPr>
          <w:sz w:val="24"/>
          <w:szCs w:val="24"/>
          <w:shd w:val="clear" w:color="auto" w:fill="FFFFFF"/>
        </w:rPr>
        <w:t xml:space="preserve">What is Amazon volatility? AMZN. (n.d.). Retrieved April 2, 2020, from Macroaxis website: </w:t>
      </w:r>
      <w:hyperlink r:id="rId11" w:history="1">
        <w:r w:rsidR="002C7D8B" w:rsidRPr="00967382">
          <w:rPr>
            <w:rStyle w:val="Hyperlink"/>
            <w:sz w:val="24"/>
            <w:szCs w:val="24"/>
            <w:shd w:val="clear" w:color="auto" w:fill="FFFFFF"/>
          </w:rPr>
          <w:t>https://www.macroaxis.com/invest/market/AMZN--volatility--Amazon-Inc</w:t>
        </w:r>
      </w:hyperlink>
    </w:p>
    <w:p w:rsidR="002C7D8B" w:rsidRPr="002C7D8B" w:rsidRDefault="002C7D8B" w:rsidP="002C7D8B">
      <w:pPr>
        <w:spacing w:before="100" w:beforeAutospacing="1" w:after="100" w:afterAutospacing="1" w:line="480" w:lineRule="auto"/>
        <w:rPr>
          <w:sz w:val="24"/>
          <w:szCs w:val="24"/>
        </w:rPr>
      </w:pPr>
    </w:p>
    <w:sectPr w:rsidR="002C7D8B" w:rsidRPr="002C7D8B" w:rsidSect="00DA3661">
      <w:headerReference w:type="default" r:id="rId12"/>
      <w:headerReference w:type="first" r:id="rId13"/>
      <w:pgSz w:w="12240" w:h="15840"/>
      <w:pgMar w:top="1500" w:right="1280" w:bottom="280" w:left="116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047" w:rsidRDefault="00DF6047" w:rsidP="00DA3661">
      <w:r>
        <w:separator/>
      </w:r>
    </w:p>
  </w:endnote>
  <w:endnote w:type="continuationSeparator" w:id="0">
    <w:p w:rsidR="00DF6047" w:rsidRDefault="00DF6047" w:rsidP="00DA3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047" w:rsidRDefault="00DF6047" w:rsidP="00DA3661">
      <w:r>
        <w:separator/>
      </w:r>
    </w:p>
  </w:footnote>
  <w:footnote w:type="continuationSeparator" w:id="0">
    <w:p w:rsidR="00DF6047" w:rsidRDefault="00DF6047" w:rsidP="00DA36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661" w:rsidRPr="00DA3661" w:rsidRDefault="00DA3661" w:rsidP="00DA3661">
    <w:pPr>
      <w:pStyle w:val="Header"/>
      <w:rPr>
        <w:sz w:val="24"/>
        <w:szCs w:val="24"/>
      </w:rPr>
    </w:pPr>
    <w:r w:rsidRPr="00DA3661">
      <w:rPr>
        <w:sz w:val="24"/>
        <w:szCs w:val="24"/>
      </w:rPr>
      <w:t xml:space="preserve">INVESTMENT PLANNING </w:t>
    </w:r>
    <w:r>
      <w:rPr>
        <w:sz w:val="24"/>
        <w:szCs w:val="24"/>
      </w:rPr>
      <w:tab/>
    </w:r>
    <w:r>
      <w:rPr>
        <w:sz w:val="24"/>
        <w:szCs w:val="24"/>
      </w:rPr>
      <w:tab/>
    </w:r>
    <w:sdt>
      <w:sdtPr>
        <w:id w:val="-99955679"/>
        <w:docPartObj>
          <w:docPartGallery w:val="Page Numbers (Top of Page)"/>
          <w:docPartUnique/>
        </w:docPartObj>
      </w:sdtPr>
      <w:sdtEndPr>
        <w:rPr>
          <w:noProof/>
          <w:sz w:val="24"/>
          <w:szCs w:val="24"/>
        </w:rPr>
      </w:sdtEndPr>
      <w:sdtContent>
        <w:r w:rsidRPr="00DA3661">
          <w:rPr>
            <w:sz w:val="24"/>
            <w:szCs w:val="24"/>
          </w:rPr>
          <w:fldChar w:fldCharType="begin"/>
        </w:r>
        <w:r w:rsidRPr="00DA3661">
          <w:rPr>
            <w:sz w:val="24"/>
            <w:szCs w:val="24"/>
          </w:rPr>
          <w:instrText xml:space="preserve"> PAGE   \* MERGEFORMAT </w:instrText>
        </w:r>
        <w:r w:rsidRPr="00DA3661">
          <w:rPr>
            <w:sz w:val="24"/>
            <w:szCs w:val="24"/>
          </w:rPr>
          <w:fldChar w:fldCharType="separate"/>
        </w:r>
        <w:r>
          <w:rPr>
            <w:noProof/>
            <w:sz w:val="24"/>
            <w:szCs w:val="24"/>
          </w:rPr>
          <w:t>7</w:t>
        </w:r>
        <w:r w:rsidRPr="00DA3661">
          <w:rPr>
            <w:noProof/>
            <w:sz w:val="24"/>
            <w:szCs w:val="24"/>
          </w:rPr>
          <w:fldChar w:fldCharType="end"/>
        </w:r>
      </w:sdtContent>
    </w:sdt>
  </w:p>
  <w:p w:rsidR="00DA3661" w:rsidRPr="00DA3661" w:rsidRDefault="00DA3661">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661" w:rsidRDefault="00DA3661">
    <w:pPr>
      <w:pStyle w:val="Header"/>
    </w:pPr>
    <w:r w:rsidRPr="00DA3661">
      <w:rPr>
        <w:sz w:val="24"/>
        <w:szCs w:val="24"/>
      </w:rPr>
      <w:t xml:space="preserve">Running Head: INVESTMENT PLANNING </w:t>
    </w:r>
    <w:r>
      <w:rPr>
        <w:sz w:val="24"/>
        <w:szCs w:val="24"/>
      </w:rPr>
      <w:tab/>
    </w:r>
    <w:r>
      <w:rPr>
        <w:sz w:val="24"/>
        <w:szCs w:val="24"/>
      </w:rPr>
      <w:tab/>
    </w:r>
    <w:sdt>
      <w:sdtPr>
        <w:id w:val="1703277546"/>
        <w:docPartObj>
          <w:docPartGallery w:val="Page Numbers (Top of Page)"/>
          <w:docPartUnique/>
        </w:docPartObj>
      </w:sdtPr>
      <w:sdtEndPr>
        <w:rPr>
          <w:noProof/>
          <w:sz w:val="24"/>
          <w:szCs w:val="24"/>
        </w:rPr>
      </w:sdtEndPr>
      <w:sdtContent>
        <w:r w:rsidRPr="00DA3661">
          <w:rPr>
            <w:sz w:val="24"/>
            <w:szCs w:val="24"/>
          </w:rPr>
          <w:fldChar w:fldCharType="begin"/>
        </w:r>
        <w:r w:rsidRPr="00DA3661">
          <w:rPr>
            <w:sz w:val="24"/>
            <w:szCs w:val="24"/>
          </w:rPr>
          <w:instrText xml:space="preserve"> PAGE   \* MERGEFORMAT </w:instrText>
        </w:r>
        <w:r w:rsidRPr="00DA3661">
          <w:rPr>
            <w:sz w:val="24"/>
            <w:szCs w:val="24"/>
          </w:rPr>
          <w:fldChar w:fldCharType="separate"/>
        </w:r>
        <w:r w:rsidR="00DF6047">
          <w:rPr>
            <w:noProof/>
            <w:sz w:val="24"/>
            <w:szCs w:val="24"/>
          </w:rPr>
          <w:t>1</w:t>
        </w:r>
        <w:r w:rsidRPr="00DA3661">
          <w:rPr>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1A394E"/>
    <w:multiLevelType w:val="hybridMultilevel"/>
    <w:tmpl w:val="6D141428"/>
    <w:lvl w:ilvl="0" w:tplc="CAB2BDA2">
      <w:numFmt w:val="bullet"/>
      <w:lvlText w:val=""/>
      <w:lvlJc w:val="left"/>
      <w:pPr>
        <w:ind w:left="492" w:hanging="193"/>
      </w:pPr>
      <w:rPr>
        <w:rFonts w:ascii="Symbol" w:eastAsia="Symbol" w:hAnsi="Symbol" w:cs="Symbol" w:hint="default"/>
        <w:b/>
        <w:bCs/>
        <w:w w:val="99"/>
        <w:sz w:val="27"/>
        <w:szCs w:val="27"/>
      </w:rPr>
    </w:lvl>
    <w:lvl w:ilvl="1" w:tplc="88D61A78">
      <w:numFmt w:val="bullet"/>
      <w:lvlText w:val=""/>
      <w:lvlJc w:val="left"/>
      <w:pPr>
        <w:ind w:left="840" w:hanging="360"/>
      </w:pPr>
      <w:rPr>
        <w:rFonts w:ascii="Symbol" w:eastAsia="Symbol" w:hAnsi="Symbol" w:cs="Symbol" w:hint="default"/>
        <w:w w:val="99"/>
        <w:sz w:val="22"/>
        <w:szCs w:val="22"/>
      </w:rPr>
    </w:lvl>
    <w:lvl w:ilvl="2" w:tplc="BA0E48CE">
      <w:numFmt w:val="bullet"/>
      <w:lvlText w:val="•"/>
      <w:lvlJc w:val="left"/>
      <w:pPr>
        <w:ind w:left="1835" w:hanging="360"/>
      </w:pPr>
      <w:rPr>
        <w:rFonts w:hint="default"/>
      </w:rPr>
    </w:lvl>
    <w:lvl w:ilvl="3" w:tplc="9B8CCB6A">
      <w:numFmt w:val="bullet"/>
      <w:lvlText w:val="•"/>
      <w:lvlJc w:val="left"/>
      <w:pPr>
        <w:ind w:left="2831" w:hanging="360"/>
      </w:pPr>
      <w:rPr>
        <w:rFonts w:hint="default"/>
      </w:rPr>
    </w:lvl>
    <w:lvl w:ilvl="4" w:tplc="53488A72">
      <w:numFmt w:val="bullet"/>
      <w:lvlText w:val="•"/>
      <w:lvlJc w:val="left"/>
      <w:pPr>
        <w:ind w:left="3826" w:hanging="360"/>
      </w:pPr>
      <w:rPr>
        <w:rFonts w:hint="default"/>
      </w:rPr>
    </w:lvl>
    <w:lvl w:ilvl="5" w:tplc="C3DEB626">
      <w:numFmt w:val="bullet"/>
      <w:lvlText w:val="•"/>
      <w:lvlJc w:val="left"/>
      <w:pPr>
        <w:ind w:left="4822" w:hanging="360"/>
      </w:pPr>
      <w:rPr>
        <w:rFonts w:hint="default"/>
      </w:rPr>
    </w:lvl>
    <w:lvl w:ilvl="6" w:tplc="4D1A5752">
      <w:numFmt w:val="bullet"/>
      <w:lvlText w:val="•"/>
      <w:lvlJc w:val="left"/>
      <w:pPr>
        <w:ind w:left="5817" w:hanging="360"/>
      </w:pPr>
      <w:rPr>
        <w:rFonts w:hint="default"/>
      </w:rPr>
    </w:lvl>
    <w:lvl w:ilvl="7" w:tplc="5D48E8E2">
      <w:numFmt w:val="bullet"/>
      <w:lvlText w:val="•"/>
      <w:lvlJc w:val="left"/>
      <w:pPr>
        <w:ind w:left="6813" w:hanging="360"/>
      </w:pPr>
      <w:rPr>
        <w:rFonts w:hint="default"/>
      </w:rPr>
    </w:lvl>
    <w:lvl w:ilvl="8" w:tplc="ED6E4904">
      <w:numFmt w:val="bullet"/>
      <w:lvlText w:val="•"/>
      <w:lvlJc w:val="left"/>
      <w:pPr>
        <w:ind w:left="7808"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001"/>
    <w:rsid w:val="000A26E4"/>
    <w:rsid w:val="000B0F14"/>
    <w:rsid w:val="00140840"/>
    <w:rsid w:val="001619B0"/>
    <w:rsid w:val="00166A3D"/>
    <w:rsid w:val="00240029"/>
    <w:rsid w:val="002C7D8B"/>
    <w:rsid w:val="002F2FD1"/>
    <w:rsid w:val="00323CB2"/>
    <w:rsid w:val="00411324"/>
    <w:rsid w:val="00484001"/>
    <w:rsid w:val="0066105D"/>
    <w:rsid w:val="006620CC"/>
    <w:rsid w:val="006E4FFF"/>
    <w:rsid w:val="007009D6"/>
    <w:rsid w:val="007712DA"/>
    <w:rsid w:val="007A12B1"/>
    <w:rsid w:val="007B59B5"/>
    <w:rsid w:val="007E5C53"/>
    <w:rsid w:val="00873EA4"/>
    <w:rsid w:val="008A2671"/>
    <w:rsid w:val="009006A6"/>
    <w:rsid w:val="00936424"/>
    <w:rsid w:val="0099024B"/>
    <w:rsid w:val="009E37DB"/>
    <w:rsid w:val="009F29D6"/>
    <w:rsid w:val="00A1354C"/>
    <w:rsid w:val="00A13624"/>
    <w:rsid w:val="00B426CE"/>
    <w:rsid w:val="00BC02F8"/>
    <w:rsid w:val="00C55789"/>
    <w:rsid w:val="00D9087F"/>
    <w:rsid w:val="00DA3661"/>
    <w:rsid w:val="00DF6047"/>
    <w:rsid w:val="00DF6134"/>
    <w:rsid w:val="00E71E5C"/>
    <w:rsid w:val="00F01C25"/>
    <w:rsid w:val="00F22253"/>
    <w:rsid w:val="00F32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C21B41-3667-4E28-A885-CE261158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84001"/>
    <w:pPr>
      <w:widowControl w:val="0"/>
      <w:autoSpaceDE w:val="0"/>
      <w:autoSpaceDN w:val="0"/>
      <w:spacing w:after="0" w:line="240" w:lineRule="auto"/>
    </w:pPr>
    <w:rPr>
      <w:rFonts w:ascii="Times New Roman" w:eastAsia="Times New Roman" w:hAnsi="Times New Roman" w:cs="Times New Roman"/>
    </w:rPr>
  </w:style>
  <w:style w:type="paragraph" w:styleId="Heading3">
    <w:name w:val="heading 3"/>
    <w:basedOn w:val="Normal"/>
    <w:link w:val="Heading3Char"/>
    <w:uiPriority w:val="9"/>
    <w:qFormat/>
    <w:rsid w:val="0066105D"/>
    <w:pPr>
      <w:widowControl/>
      <w:autoSpaceDE/>
      <w:autoSpaceDN/>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84001"/>
    <w:rPr>
      <w:sz w:val="24"/>
      <w:szCs w:val="24"/>
    </w:rPr>
  </w:style>
  <w:style w:type="character" w:customStyle="1" w:styleId="BodyTextChar">
    <w:name w:val="Body Text Char"/>
    <w:basedOn w:val="DefaultParagraphFont"/>
    <w:link w:val="BodyText"/>
    <w:uiPriority w:val="1"/>
    <w:rsid w:val="00484001"/>
    <w:rPr>
      <w:rFonts w:ascii="Times New Roman" w:eastAsia="Times New Roman" w:hAnsi="Times New Roman" w:cs="Times New Roman"/>
      <w:sz w:val="24"/>
      <w:szCs w:val="24"/>
    </w:rPr>
  </w:style>
  <w:style w:type="paragraph" w:styleId="ListParagraph">
    <w:name w:val="List Paragraph"/>
    <w:basedOn w:val="Normal"/>
    <w:uiPriority w:val="1"/>
    <w:qFormat/>
    <w:rsid w:val="00484001"/>
    <w:pPr>
      <w:ind w:left="921" w:hanging="360"/>
    </w:pPr>
  </w:style>
  <w:style w:type="character" w:styleId="Strong">
    <w:name w:val="Strong"/>
    <w:basedOn w:val="DefaultParagraphFont"/>
    <w:uiPriority w:val="22"/>
    <w:qFormat/>
    <w:rsid w:val="0099024B"/>
    <w:rPr>
      <w:b/>
      <w:bCs/>
    </w:rPr>
  </w:style>
  <w:style w:type="character" w:customStyle="1" w:styleId="Heading3Char">
    <w:name w:val="Heading 3 Char"/>
    <w:basedOn w:val="DefaultParagraphFont"/>
    <w:link w:val="Heading3"/>
    <w:uiPriority w:val="9"/>
    <w:rsid w:val="0066105D"/>
    <w:rPr>
      <w:rFonts w:ascii="Times New Roman" w:eastAsia="Times New Roman" w:hAnsi="Times New Roman" w:cs="Times New Roman"/>
      <w:b/>
      <w:bCs/>
      <w:sz w:val="27"/>
      <w:szCs w:val="27"/>
    </w:rPr>
  </w:style>
  <w:style w:type="character" w:customStyle="1" w:styleId="poschange">
    <w:name w:val="poschange"/>
    <w:basedOn w:val="DefaultParagraphFont"/>
    <w:rsid w:val="0066105D"/>
  </w:style>
  <w:style w:type="character" w:customStyle="1" w:styleId="posdata">
    <w:name w:val="posdata"/>
    <w:basedOn w:val="DefaultParagraphFont"/>
    <w:rsid w:val="0066105D"/>
  </w:style>
  <w:style w:type="character" w:customStyle="1" w:styleId="negchange">
    <w:name w:val="negchange"/>
    <w:basedOn w:val="DefaultParagraphFont"/>
    <w:rsid w:val="0066105D"/>
  </w:style>
  <w:style w:type="character" w:customStyle="1" w:styleId="negdata">
    <w:name w:val="negdata"/>
    <w:basedOn w:val="DefaultParagraphFont"/>
    <w:rsid w:val="0066105D"/>
  </w:style>
  <w:style w:type="character" w:styleId="Hyperlink">
    <w:name w:val="Hyperlink"/>
    <w:basedOn w:val="DefaultParagraphFont"/>
    <w:uiPriority w:val="99"/>
    <w:unhideWhenUsed/>
    <w:rsid w:val="0066105D"/>
    <w:rPr>
      <w:color w:val="0563C1" w:themeColor="hyperlink"/>
      <w:u w:val="single"/>
    </w:rPr>
  </w:style>
  <w:style w:type="paragraph" w:styleId="Header">
    <w:name w:val="header"/>
    <w:basedOn w:val="Normal"/>
    <w:link w:val="HeaderChar"/>
    <w:uiPriority w:val="99"/>
    <w:unhideWhenUsed/>
    <w:rsid w:val="00DA3661"/>
    <w:pPr>
      <w:tabs>
        <w:tab w:val="center" w:pos="4680"/>
        <w:tab w:val="right" w:pos="9360"/>
      </w:tabs>
    </w:pPr>
  </w:style>
  <w:style w:type="character" w:customStyle="1" w:styleId="HeaderChar">
    <w:name w:val="Header Char"/>
    <w:basedOn w:val="DefaultParagraphFont"/>
    <w:link w:val="Header"/>
    <w:uiPriority w:val="99"/>
    <w:rsid w:val="00DA3661"/>
    <w:rPr>
      <w:rFonts w:ascii="Times New Roman" w:eastAsia="Times New Roman" w:hAnsi="Times New Roman" w:cs="Times New Roman"/>
    </w:rPr>
  </w:style>
  <w:style w:type="paragraph" w:styleId="Footer">
    <w:name w:val="footer"/>
    <w:basedOn w:val="Normal"/>
    <w:link w:val="FooterChar"/>
    <w:uiPriority w:val="99"/>
    <w:unhideWhenUsed/>
    <w:rsid w:val="00DA3661"/>
    <w:pPr>
      <w:tabs>
        <w:tab w:val="center" w:pos="4680"/>
        <w:tab w:val="right" w:pos="9360"/>
      </w:tabs>
    </w:pPr>
  </w:style>
  <w:style w:type="character" w:customStyle="1" w:styleId="FooterChar">
    <w:name w:val="Footer Char"/>
    <w:basedOn w:val="DefaultParagraphFont"/>
    <w:link w:val="Footer"/>
    <w:uiPriority w:val="99"/>
    <w:rsid w:val="00DA366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268068">
      <w:bodyDiv w:val="1"/>
      <w:marLeft w:val="0"/>
      <w:marRight w:val="0"/>
      <w:marTop w:val="0"/>
      <w:marBottom w:val="0"/>
      <w:divBdr>
        <w:top w:val="none" w:sz="0" w:space="0" w:color="auto"/>
        <w:left w:val="none" w:sz="0" w:space="0" w:color="auto"/>
        <w:bottom w:val="none" w:sz="0" w:space="0" w:color="auto"/>
        <w:right w:val="none" w:sz="0" w:space="0" w:color="auto"/>
      </w:divBdr>
      <w:divsChild>
        <w:div w:id="1404251924">
          <w:marLeft w:val="0"/>
          <w:marRight w:val="0"/>
          <w:marTop w:val="0"/>
          <w:marBottom w:val="0"/>
          <w:divBdr>
            <w:top w:val="none" w:sz="0" w:space="0" w:color="auto"/>
            <w:left w:val="none" w:sz="0" w:space="0" w:color="auto"/>
            <w:bottom w:val="none" w:sz="0" w:space="0" w:color="auto"/>
            <w:right w:val="none" w:sz="0" w:space="0" w:color="auto"/>
          </w:divBdr>
          <w:divsChild>
            <w:div w:id="171647539">
              <w:marLeft w:val="0"/>
              <w:marRight w:val="0"/>
              <w:marTop w:val="0"/>
              <w:marBottom w:val="0"/>
              <w:divBdr>
                <w:top w:val="none" w:sz="0" w:space="0" w:color="auto"/>
                <w:left w:val="none" w:sz="0" w:space="0" w:color="auto"/>
                <w:bottom w:val="single" w:sz="6" w:space="0" w:color="E0E4E9"/>
                <w:right w:val="none" w:sz="0" w:space="0" w:color="auto"/>
              </w:divBdr>
            </w:div>
            <w:div w:id="566959279">
              <w:marLeft w:val="0"/>
              <w:marRight w:val="0"/>
              <w:marTop w:val="0"/>
              <w:marBottom w:val="0"/>
              <w:divBdr>
                <w:top w:val="none" w:sz="0" w:space="0" w:color="auto"/>
                <w:left w:val="none" w:sz="0" w:space="0" w:color="auto"/>
                <w:bottom w:val="single" w:sz="6" w:space="0" w:color="E0E4E9"/>
                <w:right w:val="none" w:sz="0" w:space="0" w:color="auto"/>
              </w:divBdr>
            </w:div>
            <w:div w:id="1659193785">
              <w:marLeft w:val="0"/>
              <w:marRight w:val="0"/>
              <w:marTop w:val="0"/>
              <w:marBottom w:val="0"/>
              <w:divBdr>
                <w:top w:val="none" w:sz="0" w:space="0" w:color="auto"/>
                <w:left w:val="none" w:sz="0" w:space="0" w:color="auto"/>
                <w:bottom w:val="single" w:sz="6" w:space="0" w:color="E0E4E9"/>
                <w:right w:val="none" w:sz="0" w:space="0" w:color="auto"/>
              </w:divBdr>
            </w:div>
            <w:div w:id="1740206053">
              <w:marLeft w:val="0"/>
              <w:marRight w:val="0"/>
              <w:marTop w:val="0"/>
              <w:marBottom w:val="0"/>
              <w:divBdr>
                <w:top w:val="none" w:sz="0" w:space="0" w:color="auto"/>
                <w:left w:val="none" w:sz="0" w:space="0" w:color="auto"/>
                <w:bottom w:val="single" w:sz="6" w:space="0" w:color="E0E4E9"/>
                <w:right w:val="none" w:sz="0" w:space="0" w:color="auto"/>
              </w:divBdr>
            </w:div>
            <w:div w:id="1102184925">
              <w:marLeft w:val="0"/>
              <w:marRight w:val="0"/>
              <w:marTop w:val="0"/>
              <w:marBottom w:val="0"/>
              <w:divBdr>
                <w:top w:val="none" w:sz="0" w:space="0" w:color="auto"/>
                <w:left w:val="none" w:sz="0" w:space="0" w:color="auto"/>
                <w:bottom w:val="single" w:sz="6" w:space="0" w:color="E0E4E9"/>
                <w:right w:val="none" w:sz="0" w:space="0" w:color="auto"/>
              </w:divBdr>
            </w:div>
            <w:div w:id="1960212193">
              <w:marLeft w:val="0"/>
              <w:marRight w:val="0"/>
              <w:marTop w:val="0"/>
              <w:marBottom w:val="0"/>
              <w:divBdr>
                <w:top w:val="none" w:sz="0" w:space="0" w:color="auto"/>
                <w:left w:val="none" w:sz="0" w:space="0" w:color="auto"/>
                <w:bottom w:val="single" w:sz="6" w:space="0" w:color="E0E4E9"/>
                <w:right w:val="none" w:sz="0" w:space="0" w:color="auto"/>
              </w:divBdr>
            </w:div>
          </w:divsChild>
        </w:div>
      </w:divsChild>
    </w:div>
    <w:div w:id="476453483">
      <w:bodyDiv w:val="1"/>
      <w:marLeft w:val="0"/>
      <w:marRight w:val="0"/>
      <w:marTop w:val="0"/>
      <w:marBottom w:val="0"/>
      <w:divBdr>
        <w:top w:val="none" w:sz="0" w:space="0" w:color="auto"/>
        <w:left w:val="none" w:sz="0" w:space="0" w:color="auto"/>
        <w:bottom w:val="none" w:sz="0" w:space="0" w:color="auto"/>
        <w:right w:val="none" w:sz="0" w:space="0" w:color="auto"/>
      </w:divBdr>
    </w:div>
    <w:div w:id="525097586">
      <w:bodyDiv w:val="1"/>
      <w:marLeft w:val="0"/>
      <w:marRight w:val="0"/>
      <w:marTop w:val="0"/>
      <w:marBottom w:val="0"/>
      <w:divBdr>
        <w:top w:val="none" w:sz="0" w:space="0" w:color="auto"/>
        <w:left w:val="none" w:sz="0" w:space="0" w:color="auto"/>
        <w:bottom w:val="none" w:sz="0" w:space="0" w:color="auto"/>
        <w:right w:val="none" w:sz="0" w:space="0" w:color="auto"/>
      </w:divBdr>
    </w:div>
    <w:div w:id="1015036136">
      <w:bodyDiv w:val="1"/>
      <w:marLeft w:val="0"/>
      <w:marRight w:val="0"/>
      <w:marTop w:val="0"/>
      <w:marBottom w:val="0"/>
      <w:divBdr>
        <w:top w:val="none" w:sz="0" w:space="0" w:color="auto"/>
        <w:left w:val="none" w:sz="0" w:space="0" w:color="auto"/>
        <w:bottom w:val="none" w:sz="0" w:space="0" w:color="auto"/>
        <w:right w:val="none" w:sz="0" w:space="0" w:color="auto"/>
      </w:divBdr>
    </w:div>
    <w:div w:id="1728916717">
      <w:bodyDiv w:val="1"/>
      <w:marLeft w:val="0"/>
      <w:marRight w:val="0"/>
      <w:marTop w:val="0"/>
      <w:marBottom w:val="0"/>
      <w:divBdr>
        <w:top w:val="none" w:sz="0" w:space="0" w:color="auto"/>
        <w:left w:val="none" w:sz="0" w:space="0" w:color="auto"/>
        <w:bottom w:val="none" w:sz="0" w:space="0" w:color="auto"/>
        <w:right w:val="none" w:sz="0" w:space="0" w:color="auto"/>
      </w:divBdr>
    </w:div>
    <w:div w:id="1973897359">
      <w:bodyDiv w:val="1"/>
      <w:marLeft w:val="0"/>
      <w:marRight w:val="0"/>
      <w:marTop w:val="0"/>
      <w:marBottom w:val="0"/>
      <w:divBdr>
        <w:top w:val="none" w:sz="0" w:space="0" w:color="auto"/>
        <w:left w:val="none" w:sz="0" w:space="0" w:color="auto"/>
        <w:bottom w:val="none" w:sz="0" w:space="0" w:color="auto"/>
        <w:right w:val="none" w:sz="0" w:space="0" w:color="auto"/>
      </w:divBdr>
      <w:divsChild>
        <w:div w:id="1683169539">
          <w:marLeft w:val="0"/>
          <w:marRight w:val="0"/>
          <w:marTop w:val="0"/>
          <w:marBottom w:val="0"/>
          <w:divBdr>
            <w:top w:val="none" w:sz="0" w:space="0" w:color="auto"/>
            <w:left w:val="none" w:sz="0" w:space="0" w:color="auto"/>
            <w:bottom w:val="none" w:sz="0" w:space="0" w:color="auto"/>
            <w:right w:val="none" w:sz="0" w:space="0" w:color="auto"/>
          </w:divBdr>
          <w:divsChild>
            <w:div w:id="314065008">
              <w:marLeft w:val="0"/>
              <w:marRight w:val="0"/>
              <w:marTop w:val="0"/>
              <w:marBottom w:val="0"/>
              <w:divBdr>
                <w:top w:val="none" w:sz="0" w:space="0" w:color="auto"/>
                <w:left w:val="none" w:sz="0" w:space="0" w:color="auto"/>
                <w:bottom w:val="single" w:sz="6" w:space="0" w:color="E0E4E9"/>
                <w:right w:val="none" w:sz="0" w:space="0" w:color="auto"/>
              </w:divBdr>
            </w:div>
            <w:div w:id="763381226">
              <w:marLeft w:val="0"/>
              <w:marRight w:val="0"/>
              <w:marTop w:val="0"/>
              <w:marBottom w:val="0"/>
              <w:divBdr>
                <w:top w:val="none" w:sz="0" w:space="0" w:color="auto"/>
                <w:left w:val="none" w:sz="0" w:space="0" w:color="auto"/>
                <w:bottom w:val="single" w:sz="6" w:space="0" w:color="E0E4E9"/>
                <w:right w:val="none" w:sz="0" w:space="0" w:color="auto"/>
              </w:divBdr>
            </w:div>
            <w:div w:id="950086547">
              <w:marLeft w:val="0"/>
              <w:marRight w:val="0"/>
              <w:marTop w:val="0"/>
              <w:marBottom w:val="0"/>
              <w:divBdr>
                <w:top w:val="none" w:sz="0" w:space="0" w:color="auto"/>
                <w:left w:val="none" w:sz="0" w:space="0" w:color="auto"/>
                <w:bottom w:val="single" w:sz="6" w:space="0" w:color="E0E4E9"/>
                <w:right w:val="none" w:sz="0" w:space="0" w:color="auto"/>
              </w:divBdr>
            </w:div>
            <w:div w:id="895510884">
              <w:marLeft w:val="0"/>
              <w:marRight w:val="0"/>
              <w:marTop w:val="0"/>
              <w:marBottom w:val="0"/>
              <w:divBdr>
                <w:top w:val="none" w:sz="0" w:space="0" w:color="auto"/>
                <w:left w:val="none" w:sz="0" w:space="0" w:color="auto"/>
                <w:bottom w:val="single" w:sz="6" w:space="0" w:color="E0E4E9"/>
                <w:right w:val="none" w:sz="0" w:space="0" w:color="auto"/>
              </w:divBdr>
            </w:div>
            <w:div w:id="1080444448">
              <w:marLeft w:val="0"/>
              <w:marRight w:val="0"/>
              <w:marTop w:val="0"/>
              <w:marBottom w:val="0"/>
              <w:divBdr>
                <w:top w:val="none" w:sz="0" w:space="0" w:color="auto"/>
                <w:left w:val="none" w:sz="0" w:space="0" w:color="auto"/>
                <w:bottom w:val="single" w:sz="6" w:space="0" w:color="E0E4E9"/>
                <w:right w:val="none" w:sz="0" w:space="0" w:color="auto"/>
              </w:divBdr>
            </w:div>
          </w:divsChild>
        </w:div>
      </w:divsChild>
    </w:div>
    <w:div w:id="1981690984">
      <w:bodyDiv w:val="1"/>
      <w:marLeft w:val="0"/>
      <w:marRight w:val="0"/>
      <w:marTop w:val="0"/>
      <w:marBottom w:val="0"/>
      <w:divBdr>
        <w:top w:val="none" w:sz="0" w:space="0" w:color="auto"/>
        <w:left w:val="none" w:sz="0" w:space="0" w:color="auto"/>
        <w:bottom w:val="none" w:sz="0" w:space="0" w:color="auto"/>
        <w:right w:val="none" w:sz="0" w:space="0" w:color="auto"/>
      </w:divBdr>
    </w:div>
    <w:div w:id="2050451344">
      <w:bodyDiv w:val="1"/>
      <w:marLeft w:val="0"/>
      <w:marRight w:val="0"/>
      <w:marTop w:val="0"/>
      <w:marBottom w:val="0"/>
      <w:divBdr>
        <w:top w:val="none" w:sz="0" w:space="0" w:color="auto"/>
        <w:left w:val="none" w:sz="0" w:space="0" w:color="auto"/>
        <w:bottom w:val="none" w:sz="0" w:space="0" w:color="auto"/>
        <w:right w:val="none" w:sz="0" w:space="0" w:color="auto"/>
      </w:divBdr>
    </w:div>
    <w:div w:id="212383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rticles/markets/101415/4-best-sp-500-index-funds.asp"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investopedia.com/articles/investing/031416/top-5-mutual-fund-holders-amazon-inc-amzn-agthx.asp"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croaxis.com/invest/market/AMZN--volatility--Amazon-Inc"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personalfinanceforbeginners.com/vtsax-review/" TargetMode="External"/><Relationship Id="rId4" Type="http://schemas.openxmlformats.org/officeDocument/2006/relationships/webSettings" Target="webSettings.xml"/><Relationship Id="rId9" Type="http://schemas.openxmlformats.org/officeDocument/2006/relationships/hyperlink" Target="https://www.iwillteachyoutoberich.com/blog/diversified-portfolio-exampl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2422</TotalTime>
  <Pages>7</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admin</cp:lastModifiedBy>
  <cp:revision>5</cp:revision>
  <dcterms:created xsi:type="dcterms:W3CDTF">2017-05-15T22:31:00Z</dcterms:created>
  <dcterms:modified xsi:type="dcterms:W3CDTF">2020-04-02T21:17:00Z</dcterms:modified>
</cp:coreProperties>
</file>