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025B" w:rsidRDefault="001C025B" w:rsidP="001C025B">
      <w:pPr>
        <w:spacing w:after="0" w:line="480" w:lineRule="auto"/>
        <w:ind w:firstLine="720"/>
        <w:rPr>
          <w:rFonts w:ascii="Times New Roman" w:eastAsia="Times New Roman" w:hAnsi="Times New Roman" w:cs="Times New Roman"/>
          <w:color w:val="0E101A"/>
          <w:sz w:val="24"/>
          <w:szCs w:val="24"/>
        </w:rPr>
      </w:pPr>
    </w:p>
    <w:p w:rsidR="001C025B" w:rsidRDefault="001C025B" w:rsidP="001C025B">
      <w:pPr>
        <w:spacing w:after="0" w:line="480" w:lineRule="auto"/>
        <w:ind w:firstLine="720"/>
        <w:rPr>
          <w:rFonts w:ascii="Times New Roman" w:eastAsia="Times New Roman" w:hAnsi="Times New Roman" w:cs="Times New Roman"/>
          <w:color w:val="0E101A"/>
          <w:sz w:val="24"/>
          <w:szCs w:val="24"/>
        </w:rPr>
      </w:pPr>
    </w:p>
    <w:p w:rsidR="001C025B" w:rsidRDefault="001C025B" w:rsidP="001C025B">
      <w:pPr>
        <w:spacing w:after="0" w:line="480" w:lineRule="auto"/>
        <w:ind w:firstLine="720"/>
        <w:rPr>
          <w:rFonts w:ascii="Times New Roman" w:eastAsia="Times New Roman" w:hAnsi="Times New Roman" w:cs="Times New Roman"/>
          <w:color w:val="0E101A"/>
          <w:sz w:val="24"/>
          <w:szCs w:val="24"/>
        </w:rPr>
      </w:pPr>
    </w:p>
    <w:p w:rsidR="001C025B" w:rsidRDefault="001C025B" w:rsidP="001C025B">
      <w:pPr>
        <w:spacing w:after="0" w:line="480" w:lineRule="auto"/>
        <w:ind w:firstLine="720"/>
        <w:jc w:val="center"/>
        <w:rPr>
          <w:rFonts w:ascii="Times New Roman" w:eastAsia="Times New Roman" w:hAnsi="Times New Roman" w:cs="Times New Roman"/>
          <w:color w:val="0E101A"/>
          <w:sz w:val="24"/>
          <w:szCs w:val="24"/>
        </w:rPr>
      </w:pPr>
      <w:bookmarkStart w:id="0" w:name="_GoBack"/>
      <w:bookmarkEnd w:id="0"/>
    </w:p>
    <w:p w:rsidR="001C025B" w:rsidRDefault="001C025B" w:rsidP="001C025B">
      <w:pPr>
        <w:spacing w:after="0" w:line="480" w:lineRule="auto"/>
        <w:ind w:firstLine="720"/>
        <w:jc w:val="center"/>
        <w:rPr>
          <w:rFonts w:ascii="Times New Roman" w:eastAsia="Times New Roman" w:hAnsi="Times New Roman" w:cs="Times New Roman"/>
          <w:color w:val="0E101A"/>
          <w:sz w:val="24"/>
          <w:szCs w:val="24"/>
        </w:rPr>
      </w:pPr>
    </w:p>
    <w:p w:rsidR="001C025B" w:rsidRDefault="001C025B" w:rsidP="001C025B">
      <w:pPr>
        <w:spacing w:after="0" w:line="480" w:lineRule="auto"/>
        <w:ind w:firstLine="720"/>
        <w:jc w:val="center"/>
        <w:rPr>
          <w:rFonts w:ascii="Times New Roman" w:eastAsia="Times New Roman" w:hAnsi="Times New Roman" w:cs="Times New Roman"/>
          <w:color w:val="0E101A"/>
          <w:sz w:val="24"/>
          <w:szCs w:val="24"/>
        </w:rPr>
      </w:pPr>
    </w:p>
    <w:p w:rsidR="001C025B" w:rsidRDefault="001C025B" w:rsidP="001C025B">
      <w:pPr>
        <w:spacing w:after="0" w:line="480" w:lineRule="auto"/>
        <w:ind w:firstLine="720"/>
        <w:jc w:val="center"/>
        <w:rPr>
          <w:rFonts w:ascii="Times New Roman" w:eastAsia="Times New Roman" w:hAnsi="Times New Roman" w:cs="Times New Roman"/>
          <w:color w:val="0E101A"/>
          <w:sz w:val="24"/>
          <w:szCs w:val="24"/>
        </w:rPr>
      </w:pPr>
    </w:p>
    <w:p w:rsidR="001C025B" w:rsidRDefault="001C025B" w:rsidP="001C025B">
      <w:pPr>
        <w:spacing w:after="0" w:line="480" w:lineRule="auto"/>
        <w:ind w:firstLine="720"/>
        <w:jc w:val="center"/>
        <w:rPr>
          <w:rFonts w:ascii="Times New Roman" w:eastAsia="Times New Roman" w:hAnsi="Times New Roman" w:cs="Times New Roman"/>
          <w:color w:val="0E101A"/>
          <w:sz w:val="24"/>
          <w:szCs w:val="24"/>
        </w:rPr>
      </w:pPr>
    </w:p>
    <w:p w:rsidR="001C025B" w:rsidRDefault="001C025B" w:rsidP="001C025B">
      <w:pPr>
        <w:spacing w:after="0" w:line="480" w:lineRule="auto"/>
        <w:ind w:firstLine="720"/>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Investment</w:t>
      </w:r>
    </w:p>
    <w:p w:rsidR="001C025B" w:rsidRDefault="001C025B" w:rsidP="001C025B">
      <w:pPr>
        <w:spacing w:after="0" w:line="480" w:lineRule="auto"/>
        <w:ind w:firstLine="720"/>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Name</w:t>
      </w:r>
    </w:p>
    <w:p w:rsidR="001C025B" w:rsidRDefault="001C025B" w:rsidP="001C025B">
      <w:pPr>
        <w:spacing w:after="0" w:line="480" w:lineRule="auto"/>
        <w:ind w:firstLine="720"/>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Institution Affiliate</w:t>
      </w:r>
    </w:p>
    <w:p w:rsidR="001C025B" w:rsidRDefault="001C025B" w:rsidP="001C025B">
      <w:pPr>
        <w:spacing w:after="0" w:line="480" w:lineRule="auto"/>
        <w:ind w:firstLine="720"/>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Date</w:t>
      </w:r>
    </w:p>
    <w:p w:rsidR="001C025B" w:rsidRDefault="001C025B" w:rsidP="001C025B">
      <w:pPr>
        <w:spacing w:after="0" w:line="480" w:lineRule="auto"/>
        <w:ind w:firstLine="720"/>
        <w:jc w:val="center"/>
        <w:rPr>
          <w:rFonts w:ascii="Times New Roman" w:eastAsia="Times New Roman" w:hAnsi="Times New Roman" w:cs="Times New Roman"/>
          <w:color w:val="0E101A"/>
          <w:sz w:val="24"/>
          <w:szCs w:val="24"/>
        </w:rPr>
      </w:pPr>
    </w:p>
    <w:p w:rsidR="001C025B" w:rsidRDefault="001C025B" w:rsidP="001C025B">
      <w:pPr>
        <w:spacing w:after="0" w:line="480" w:lineRule="auto"/>
        <w:ind w:firstLine="720"/>
        <w:rPr>
          <w:rFonts w:ascii="Times New Roman" w:eastAsia="Times New Roman" w:hAnsi="Times New Roman" w:cs="Times New Roman"/>
          <w:color w:val="0E101A"/>
          <w:sz w:val="24"/>
          <w:szCs w:val="24"/>
        </w:rPr>
      </w:pPr>
    </w:p>
    <w:p w:rsidR="001C025B" w:rsidRDefault="001C025B" w:rsidP="001C025B">
      <w:pPr>
        <w:spacing w:after="0" w:line="480" w:lineRule="auto"/>
        <w:ind w:firstLine="720"/>
        <w:rPr>
          <w:rFonts w:ascii="Times New Roman" w:eastAsia="Times New Roman" w:hAnsi="Times New Roman" w:cs="Times New Roman"/>
          <w:color w:val="0E101A"/>
          <w:sz w:val="24"/>
          <w:szCs w:val="24"/>
        </w:rPr>
      </w:pPr>
    </w:p>
    <w:p w:rsidR="001C025B" w:rsidRDefault="001C025B" w:rsidP="001C025B">
      <w:pPr>
        <w:spacing w:after="0" w:line="480" w:lineRule="auto"/>
        <w:ind w:firstLine="720"/>
        <w:rPr>
          <w:rFonts w:ascii="Times New Roman" w:eastAsia="Times New Roman" w:hAnsi="Times New Roman" w:cs="Times New Roman"/>
          <w:color w:val="0E101A"/>
          <w:sz w:val="24"/>
          <w:szCs w:val="24"/>
        </w:rPr>
      </w:pPr>
    </w:p>
    <w:p w:rsidR="001C025B" w:rsidRDefault="001C025B" w:rsidP="001C025B">
      <w:pPr>
        <w:spacing w:after="0" w:line="480" w:lineRule="auto"/>
        <w:ind w:firstLine="720"/>
        <w:rPr>
          <w:rFonts w:ascii="Times New Roman" w:eastAsia="Times New Roman" w:hAnsi="Times New Roman" w:cs="Times New Roman"/>
          <w:color w:val="0E101A"/>
          <w:sz w:val="24"/>
          <w:szCs w:val="24"/>
        </w:rPr>
      </w:pPr>
    </w:p>
    <w:p w:rsidR="001C025B" w:rsidRDefault="001C025B" w:rsidP="001C025B">
      <w:pPr>
        <w:spacing w:after="0" w:line="480" w:lineRule="auto"/>
        <w:ind w:firstLine="720"/>
        <w:rPr>
          <w:rFonts w:ascii="Times New Roman" w:eastAsia="Times New Roman" w:hAnsi="Times New Roman" w:cs="Times New Roman"/>
          <w:color w:val="0E101A"/>
          <w:sz w:val="24"/>
          <w:szCs w:val="24"/>
        </w:rPr>
      </w:pPr>
    </w:p>
    <w:p w:rsidR="001C025B" w:rsidRDefault="001C025B" w:rsidP="001C025B">
      <w:pPr>
        <w:spacing w:after="0" w:line="480" w:lineRule="auto"/>
        <w:ind w:firstLine="720"/>
        <w:rPr>
          <w:rFonts w:ascii="Times New Roman" w:eastAsia="Times New Roman" w:hAnsi="Times New Roman" w:cs="Times New Roman"/>
          <w:color w:val="0E101A"/>
          <w:sz w:val="24"/>
          <w:szCs w:val="24"/>
        </w:rPr>
      </w:pPr>
    </w:p>
    <w:p w:rsidR="001C025B" w:rsidRDefault="001C025B" w:rsidP="001C025B">
      <w:pPr>
        <w:spacing w:after="0" w:line="480" w:lineRule="auto"/>
        <w:ind w:firstLine="720"/>
        <w:rPr>
          <w:rFonts w:ascii="Times New Roman" w:eastAsia="Times New Roman" w:hAnsi="Times New Roman" w:cs="Times New Roman"/>
          <w:color w:val="0E101A"/>
          <w:sz w:val="24"/>
          <w:szCs w:val="24"/>
        </w:rPr>
      </w:pPr>
    </w:p>
    <w:p w:rsidR="001C025B" w:rsidRDefault="001C025B" w:rsidP="001C025B">
      <w:pPr>
        <w:spacing w:after="0" w:line="480" w:lineRule="auto"/>
        <w:rPr>
          <w:rFonts w:ascii="Times New Roman" w:eastAsia="Times New Roman" w:hAnsi="Times New Roman" w:cs="Times New Roman"/>
          <w:color w:val="0E101A"/>
          <w:sz w:val="24"/>
          <w:szCs w:val="24"/>
        </w:rPr>
      </w:pPr>
    </w:p>
    <w:p w:rsidR="001C025B" w:rsidRDefault="001C025B" w:rsidP="001C025B">
      <w:pPr>
        <w:spacing w:after="0" w:line="480" w:lineRule="auto"/>
        <w:rPr>
          <w:rFonts w:ascii="Times New Roman" w:eastAsia="Times New Roman" w:hAnsi="Times New Roman" w:cs="Times New Roman"/>
          <w:color w:val="0E101A"/>
          <w:sz w:val="24"/>
          <w:szCs w:val="24"/>
        </w:rPr>
      </w:pPr>
    </w:p>
    <w:p w:rsidR="00D91FB2" w:rsidRPr="001C025B" w:rsidRDefault="00D91FB2" w:rsidP="001C025B">
      <w:pPr>
        <w:spacing w:after="0" w:line="480" w:lineRule="auto"/>
        <w:ind w:firstLine="720"/>
        <w:rPr>
          <w:rFonts w:ascii="Times New Roman" w:eastAsia="Times New Roman" w:hAnsi="Times New Roman" w:cs="Times New Roman"/>
          <w:color w:val="0E101A"/>
          <w:sz w:val="24"/>
          <w:szCs w:val="24"/>
        </w:rPr>
      </w:pPr>
      <w:r w:rsidRPr="001C025B">
        <w:rPr>
          <w:rFonts w:ascii="Times New Roman" w:eastAsia="Times New Roman" w:hAnsi="Times New Roman" w:cs="Times New Roman"/>
          <w:color w:val="0E101A"/>
          <w:sz w:val="24"/>
          <w:szCs w:val="24"/>
        </w:rPr>
        <w:lastRenderedPageBreak/>
        <w:t>Investment is very important for any company. This is so because first, by investing extra cash, a company stands a higher chance of getting more income. Also, a company can earn income through entities such as mutual funds and pension funds. Moreover, investment is a strategic move that companies make to gain a competitive advantage in the market. The two types of investments are short term investments which are investments that are converted to the known amount of cash within three months after investment. For example, treasury bills and government bonds which readily mature into cash areas said to short-term investments. On the other hand, long-term investments that are not readily converted into cash, for example, bonds are not readily bought by a company as a part of its operations.</w:t>
      </w:r>
    </w:p>
    <w:p w:rsidR="00D91FB2" w:rsidRPr="001C025B" w:rsidRDefault="00D91FB2" w:rsidP="001C025B">
      <w:pPr>
        <w:spacing w:after="0" w:line="480" w:lineRule="auto"/>
        <w:ind w:firstLine="720"/>
        <w:rPr>
          <w:rFonts w:ascii="Times New Roman" w:eastAsia="Times New Roman" w:hAnsi="Times New Roman" w:cs="Times New Roman"/>
          <w:color w:val="0E101A"/>
          <w:sz w:val="24"/>
          <w:szCs w:val="24"/>
        </w:rPr>
      </w:pPr>
      <w:r w:rsidRPr="001C025B">
        <w:rPr>
          <w:rFonts w:ascii="Times New Roman" w:eastAsia="Times New Roman" w:hAnsi="Times New Roman" w:cs="Times New Roman"/>
          <w:color w:val="0E101A"/>
          <w:sz w:val="24"/>
          <w:szCs w:val="24"/>
        </w:rPr>
        <w:t>Debt and equity securities both constitute what is called investment in securities. Debt securities are Important because they reflect the creditor’s relationship in relation to investment in notes and bonds as well as certificates. Equity securities, on the other hand, reflect the relationship of the owner in relation to shares that the owner owns. Normally, trading securities are current assets because they are equity and debt securities that the company intends to trade to gain profit. The debt and equity securities that are not classified as trading are what constitute available for sale securities.  </w:t>
      </w:r>
    </w:p>
    <w:p w:rsidR="00D91FB2" w:rsidRPr="001C025B" w:rsidRDefault="00D91FB2" w:rsidP="001C025B">
      <w:pPr>
        <w:spacing w:after="0" w:line="480" w:lineRule="auto"/>
        <w:rPr>
          <w:rFonts w:ascii="Times New Roman" w:eastAsia="Times New Roman" w:hAnsi="Times New Roman" w:cs="Times New Roman"/>
          <w:color w:val="0E101A"/>
          <w:sz w:val="24"/>
          <w:szCs w:val="24"/>
        </w:rPr>
      </w:pPr>
      <w:r w:rsidRPr="001C025B">
        <w:rPr>
          <w:rFonts w:ascii="Times New Roman" w:eastAsia="Times New Roman" w:hAnsi="Times New Roman" w:cs="Times New Roman"/>
          <w:color w:val="0E101A"/>
          <w:sz w:val="24"/>
          <w:szCs w:val="24"/>
        </w:rPr>
        <w:t>Questions</w:t>
      </w:r>
    </w:p>
    <w:p w:rsidR="00D91FB2" w:rsidRPr="001C025B" w:rsidRDefault="00D91FB2" w:rsidP="001C025B">
      <w:pPr>
        <w:numPr>
          <w:ilvl w:val="0"/>
          <w:numId w:val="2"/>
        </w:numPr>
        <w:spacing w:after="0" w:line="480" w:lineRule="auto"/>
        <w:rPr>
          <w:rFonts w:ascii="Times New Roman" w:eastAsia="Times New Roman" w:hAnsi="Times New Roman" w:cs="Times New Roman"/>
          <w:color w:val="0E101A"/>
          <w:sz w:val="24"/>
          <w:szCs w:val="24"/>
        </w:rPr>
      </w:pPr>
      <w:r w:rsidRPr="001C025B">
        <w:rPr>
          <w:rFonts w:ascii="Times New Roman" w:eastAsia="Times New Roman" w:hAnsi="Times New Roman" w:cs="Times New Roman"/>
          <w:color w:val="0E101A"/>
          <w:sz w:val="24"/>
          <w:szCs w:val="24"/>
        </w:rPr>
        <w:t>What are the advantages of a firm investing in stocks?</w:t>
      </w:r>
    </w:p>
    <w:p w:rsidR="00D91FB2" w:rsidRPr="001C025B" w:rsidRDefault="00D91FB2" w:rsidP="001C025B">
      <w:pPr>
        <w:numPr>
          <w:ilvl w:val="0"/>
          <w:numId w:val="2"/>
        </w:numPr>
        <w:spacing w:after="0" w:line="480" w:lineRule="auto"/>
        <w:rPr>
          <w:rFonts w:ascii="Times New Roman" w:eastAsia="Times New Roman" w:hAnsi="Times New Roman" w:cs="Times New Roman"/>
          <w:color w:val="0E101A"/>
          <w:sz w:val="24"/>
          <w:szCs w:val="24"/>
        </w:rPr>
      </w:pPr>
      <w:r w:rsidRPr="001C025B">
        <w:rPr>
          <w:rFonts w:ascii="Times New Roman" w:eastAsia="Times New Roman" w:hAnsi="Times New Roman" w:cs="Times New Roman"/>
          <w:color w:val="0E101A"/>
          <w:sz w:val="24"/>
          <w:szCs w:val="24"/>
        </w:rPr>
        <w:t>What the advantages and disadvantages of a firm investing in funds over bonds and stocks</w:t>
      </w:r>
    </w:p>
    <w:p w:rsidR="00614D2F" w:rsidRPr="001C025B" w:rsidRDefault="00614D2F" w:rsidP="001C025B">
      <w:pPr>
        <w:numPr>
          <w:ilvl w:val="0"/>
          <w:numId w:val="2"/>
        </w:numPr>
        <w:spacing w:after="0" w:line="480" w:lineRule="auto"/>
        <w:rPr>
          <w:rFonts w:ascii="Times New Roman" w:eastAsia="Times New Roman" w:hAnsi="Times New Roman" w:cs="Times New Roman"/>
          <w:color w:val="0E101A"/>
          <w:sz w:val="24"/>
          <w:szCs w:val="24"/>
        </w:rPr>
      </w:pPr>
      <w:r w:rsidRPr="001C025B">
        <w:rPr>
          <w:rFonts w:ascii="Times New Roman" w:eastAsia="Times New Roman" w:hAnsi="Times New Roman" w:cs="Times New Roman"/>
          <w:color w:val="0E101A"/>
          <w:sz w:val="24"/>
          <w:szCs w:val="24"/>
        </w:rPr>
        <w:t>Illustrate in figures the cost and fair value of available for sale securities</w:t>
      </w:r>
    </w:p>
    <w:p w:rsidR="00614D2F" w:rsidRPr="001C025B" w:rsidRDefault="00614D2F" w:rsidP="001C025B">
      <w:pPr>
        <w:spacing w:after="0" w:line="480" w:lineRule="auto"/>
        <w:ind w:left="720"/>
        <w:rPr>
          <w:rFonts w:ascii="Times New Roman" w:eastAsia="Times New Roman" w:hAnsi="Times New Roman" w:cs="Times New Roman"/>
          <w:color w:val="0E101A"/>
          <w:sz w:val="24"/>
          <w:szCs w:val="24"/>
        </w:rPr>
      </w:pPr>
    </w:p>
    <w:p w:rsidR="00614D2F" w:rsidRPr="001C025B" w:rsidRDefault="00614D2F" w:rsidP="001C025B">
      <w:pPr>
        <w:spacing w:after="0" w:line="480" w:lineRule="auto"/>
        <w:ind w:left="720"/>
        <w:rPr>
          <w:rFonts w:ascii="Times New Roman" w:eastAsia="Times New Roman" w:hAnsi="Times New Roman" w:cs="Times New Roman"/>
          <w:color w:val="0E101A"/>
          <w:sz w:val="24"/>
          <w:szCs w:val="24"/>
        </w:rPr>
      </w:pPr>
    </w:p>
    <w:p w:rsidR="00614D2F" w:rsidRPr="001C025B" w:rsidRDefault="00614D2F" w:rsidP="001C025B">
      <w:pPr>
        <w:spacing w:after="0" w:line="480" w:lineRule="auto"/>
        <w:ind w:left="2880" w:firstLine="720"/>
        <w:rPr>
          <w:rFonts w:ascii="Times New Roman" w:eastAsia="Times New Roman" w:hAnsi="Times New Roman" w:cs="Times New Roman"/>
          <w:color w:val="0E101A"/>
          <w:sz w:val="24"/>
          <w:szCs w:val="24"/>
        </w:rPr>
      </w:pPr>
      <w:r w:rsidRPr="001C025B">
        <w:rPr>
          <w:rFonts w:ascii="Times New Roman" w:eastAsia="Times New Roman" w:hAnsi="Times New Roman" w:cs="Times New Roman"/>
          <w:color w:val="0E101A"/>
          <w:sz w:val="24"/>
          <w:szCs w:val="24"/>
        </w:rPr>
        <w:lastRenderedPageBreak/>
        <w:t>Cost</w:t>
      </w:r>
      <w:r w:rsidRPr="001C025B">
        <w:rPr>
          <w:rFonts w:ascii="Times New Roman" w:eastAsia="Times New Roman" w:hAnsi="Times New Roman" w:cs="Times New Roman"/>
          <w:color w:val="0E101A"/>
          <w:sz w:val="24"/>
          <w:szCs w:val="24"/>
        </w:rPr>
        <w:tab/>
      </w:r>
      <w:r w:rsidRPr="001C025B">
        <w:rPr>
          <w:rFonts w:ascii="Times New Roman" w:eastAsia="Times New Roman" w:hAnsi="Times New Roman" w:cs="Times New Roman"/>
          <w:color w:val="0E101A"/>
          <w:sz w:val="24"/>
          <w:szCs w:val="24"/>
        </w:rPr>
        <w:tab/>
        <w:t>Fair value</w:t>
      </w:r>
      <w:r w:rsidRPr="001C025B">
        <w:rPr>
          <w:rFonts w:ascii="Times New Roman" w:eastAsia="Times New Roman" w:hAnsi="Times New Roman" w:cs="Times New Roman"/>
          <w:color w:val="0E101A"/>
          <w:sz w:val="24"/>
          <w:szCs w:val="24"/>
        </w:rPr>
        <w:tab/>
        <w:t>Unrealized gain (loss)</w:t>
      </w:r>
    </w:p>
    <w:p w:rsidR="00614D2F" w:rsidRPr="001C025B" w:rsidRDefault="00614D2F" w:rsidP="001C025B">
      <w:pPr>
        <w:spacing w:after="0" w:line="480" w:lineRule="auto"/>
        <w:ind w:left="720"/>
        <w:rPr>
          <w:rFonts w:ascii="Times New Roman" w:eastAsia="Times New Roman" w:hAnsi="Times New Roman" w:cs="Times New Roman"/>
          <w:color w:val="0E101A"/>
          <w:sz w:val="24"/>
          <w:szCs w:val="24"/>
        </w:rPr>
      </w:pPr>
      <w:r w:rsidRPr="001C025B">
        <w:rPr>
          <w:rFonts w:ascii="Times New Roman" w:eastAsia="Times New Roman" w:hAnsi="Times New Roman" w:cs="Times New Roman"/>
          <w:color w:val="0E101A"/>
          <w:sz w:val="24"/>
          <w:szCs w:val="24"/>
        </w:rPr>
        <w:t xml:space="preserve">Improved bonds </w:t>
      </w:r>
      <w:r w:rsidRPr="001C025B">
        <w:rPr>
          <w:rFonts w:ascii="Times New Roman" w:eastAsia="Times New Roman" w:hAnsi="Times New Roman" w:cs="Times New Roman"/>
          <w:color w:val="0E101A"/>
          <w:sz w:val="24"/>
          <w:szCs w:val="24"/>
        </w:rPr>
        <w:tab/>
      </w:r>
      <w:r w:rsidRPr="001C025B">
        <w:rPr>
          <w:rFonts w:ascii="Times New Roman" w:eastAsia="Times New Roman" w:hAnsi="Times New Roman" w:cs="Times New Roman"/>
          <w:color w:val="0E101A"/>
          <w:sz w:val="24"/>
          <w:szCs w:val="24"/>
        </w:rPr>
        <w:tab/>
        <w:t xml:space="preserve">$30 000      </w:t>
      </w:r>
      <w:r w:rsidRPr="001C025B">
        <w:rPr>
          <w:rFonts w:ascii="Times New Roman" w:eastAsia="Times New Roman" w:hAnsi="Times New Roman" w:cs="Times New Roman"/>
          <w:color w:val="0E101A"/>
          <w:sz w:val="24"/>
          <w:szCs w:val="24"/>
        </w:rPr>
        <w:tab/>
        <w:t xml:space="preserve"> $29050</w:t>
      </w:r>
      <w:r w:rsidR="00D91FB2" w:rsidRPr="001C025B">
        <w:rPr>
          <w:rFonts w:ascii="Times New Roman" w:eastAsia="Times New Roman" w:hAnsi="Times New Roman" w:cs="Times New Roman"/>
          <w:color w:val="0E101A"/>
          <w:sz w:val="24"/>
          <w:szCs w:val="24"/>
        </w:rPr>
        <w:t> </w:t>
      </w:r>
      <w:r w:rsidRPr="001C025B">
        <w:rPr>
          <w:rFonts w:ascii="Times New Roman" w:eastAsia="Times New Roman" w:hAnsi="Times New Roman" w:cs="Times New Roman"/>
          <w:color w:val="0E101A"/>
          <w:sz w:val="24"/>
          <w:szCs w:val="24"/>
        </w:rPr>
        <w:tab/>
      </w:r>
      <w:r w:rsidRPr="001C025B">
        <w:rPr>
          <w:rFonts w:ascii="Times New Roman" w:eastAsia="Times New Roman" w:hAnsi="Times New Roman" w:cs="Times New Roman"/>
          <w:color w:val="0E101A"/>
          <w:sz w:val="24"/>
          <w:szCs w:val="24"/>
        </w:rPr>
        <w:tab/>
        <w:t>$(950)</w:t>
      </w:r>
    </w:p>
    <w:p w:rsidR="00D91FB2" w:rsidRPr="001C025B" w:rsidRDefault="00D91FB2" w:rsidP="001C025B">
      <w:pPr>
        <w:spacing w:after="0" w:line="480" w:lineRule="auto"/>
        <w:ind w:left="720"/>
        <w:rPr>
          <w:rFonts w:ascii="Times New Roman" w:eastAsia="Times New Roman" w:hAnsi="Times New Roman" w:cs="Times New Roman"/>
          <w:color w:val="0E101A"/>
          <w:sz w:val="24"/>
          <w:szCs w:val="24"/>
        </w:rPr>
      </w:pPr>
      <w:r w:rsidRPr="001C025B">
        <w:rPr>
          <w:rFonts w:ascii="Times New Roman" w:eastAsia="Times New Roman" w:hAnsi="Times New Roman" w:cs="Times New Roman"/>
          <w:color w:val="0E101A"/>
          <w:sz w:val="24"/>
          <w:szCs w:val="24"/>
        </w:rPr>
        <w:t xml:space="preserve">  </w:t>
      </w:r>
    </w:p>
    <w:p w:rsidR="00E9165D" w:rsidRPr="001C025B" w:rsidRDefault="00614D2F" w:rsidP="001C025B">
      <w:pPr>
        <w:spacing w:line="480" w:lineRule="auto"/>
        <w:rPr>
          <w:rFonts w:ascii="Times New Roman" w:hAnsi="Times New Roman" w:cs="Times New Roman"/>
          <w:sz w:val="24"/>
          <w:szCs w:val="24"/>
        </w:rPr>
      </w:pPr>
      <w:proofErr w:type="spellStart"/>
      <w:r w:rsidRPr="001C025B">
        <w:rPr>
          <w:rFonts w:ascii="Times New Roman" w:hAnsi="Times New Roman" w:cs="Times New Roman"/>
          <w:sz w:val="24"/>
          <w:szCs w:val="24"/>
        </w:rPr>
        <w:t>Intex</w:t>
      </w:r>
      <w:proofErr w:type="spellEnd"/>
      <w:r w:rsidRPr="001C025B">
        <w:rPr>
          <w:rFonts w:ascii="Times New Roman" w:hAnsi="Times New Roman" w:cs="Times New Roman"/>
          <w:sz w:val="24"/>
          <w:szCs w:val="24"/>
        </w:rPr>
        <w:t xml:space="preserve"> common stock $500 shares</w:t>
      </w:r>
      <w:r w:rsidRPr="001C025B">
        <w:rPr>
          <w:rFonts w:ascii="Times New Roman" w:hAnsi="Times New Roman" w:cs="Times New Roman"/>
          <w:sz w:val="24"/>
          <w:szCs w:val="24"/>
        </w:rPr>
        <w:tab/>
        <w:t>43000</w:t>
      </w:r>
      <w:r w:rsidRPr="001C025B">
        <w:rPr>
          <w:rFonts w:ascii="Times New Roman" w:hAnsi="Times New Roman" w:cs="Times New Roman"/>
          <w:sz w:val="24"/>
          <w:szCs w:val="24"/>
        </w:rPr>
        <w:tab/>
      </w:r>
      <w:r w:rsidRPr="001C025B">
        <w:rPr>
          <w:rFonts w:ascii="Times New Roman" w:hAnsi="Times New Roman" w:cs="Times New Roman"/>
          <w:sz w:val="24"/>
          <w:szCs w:val="24"/>
        </w:rPr>
        <w:tab/>
        <w:t>45500</w:t>
      </w:r>
      <w:r w:rsidRPr="001C025B">
        <w:rPr>
          <w:rFonts w:ascii="Times New Roman" w:hAnsi="Times New Roman" w:cs="Times New Roman"/>
          <w:sz w:val="24"/>
          <w:szCs w:val="24"/>
        </w:rPr>
        <w:tab/>
      </w:r>
      <w:r w:rsidRPr="001C025B">
        <w:rPr>
          <w:rFonts w:ascii="Times New Roman" w:hAnsi="Times New Roman" w:cs="Times New Roman"/>
          <w:sz w:val="24"/>
          <w:szCs w:val="24"/>
        </w:rPr>
        <w:tab/>
      </w:r>
      <w:r w:rsidRPr="001C025B">
        <w:rPr>
          <w:rFonts w:ascii="Times New Roman" w:hAnsi="Times New Roman" w:cs="Times New Roman"/>
          <w:sz w:val="24"/>
          <w:szCs w:val="24"/>
        </w:rPr>
        <w:tab/>
        <w:t>2500</w:t>
      </w:r>
    </w:p>
    <w:p w:rsidR="00614D2F" w:rsidRPr="001C025B" w:rsidRDefault="00614D2F" w:rsidP="001C025B">
      <w:pPr>
        <w:spacing w:line="480" w:lineRule="auto"/>
        <w:rPr>
          <w:rFonts w:ascii="Times New Roman" w:hAnsi="Times New Roman" w:cs="Times New Roman"/>
          <w:sz w:val="24"/>
          <w:szCs w:val="24"/>
        </w:rPr>
      </w:pPr>
      <w:r w:rsidRPr="001C025B">
        <w:rPr>
          <w:rFonts w:ascii="Times New Roman" w:hAnsi="Times New Roman" w:cs="Times New Roman"/>
          <w:sz w:val="24"/>
          <w:szCs w:val="24"/>
        </w:rPr>
        <w:t>Total</w:t>
      </w:r>
      <w:r w:rsidRPr="001C025B">
        <w:rPr>
          <w:rFonts w:ascii="Times New Roman" w:hAnsi="Times New Roman" w:cs="Times New Roman"/>
          <w:sz w:val="24"/>
          <w:szCs w:val="24"/>
        </w:rPr>
        <w:tab/>
      </w:r>
      <w:r w:rsidRPr="001C025B">
        <w:rPr>
          <w:rFonts w:ascii="Times New Roman" w:hAnsi="Times New Roman" w:cs="Times New Roman"/>
          <w:sz w:val="24"/>
          <w:szCs w:val="24"/>
        </w:rPr>
        <w:tab/>
      </w:r>
      <w:r w:rsidRPr="001C025B">
        <w:rPr>
          <w:rFonts w:ascii="Times New Roman" w:hAnsi="Times New Roman" w:cs="Times New Roman"/>
          <w:sz w:val="24"/>
          <w:szCs w:val="24"/>
        </w:rPr>
        <w:tab/>
      </w:r>
      <w:r w:rsidRPr="001C025B">
        <w:rPr>
          <w:rFonts w:ascii="Times New Roman" w:hAnsi="Times New Roman" w:cs="Times New Roman"/>
          <w:sz w:val="24"/>
          <w:szCs w:val="24"/>
        </w:rPr>
        <w:tab/>
      </w:r>
      <w:r w:rsidRPr="001C025B">
        <w:rPr>
          <w:rFonts w:ascii="Times New Roman" w:hAnsi="Times New Roman" w:cs="Times New Roman"/>
          <w:sz w:val="24"/>
          <w:szCs w:val="24"/>
        </w:rPr>
        <w:tab/>
        <w:t>$73000</w:t>
      </w:r>
      <w:r w:rsidRPr="001C025B">
        <w:rPr>
          <w:rFonts w:ascii="Times New Roman" w:hAnsi="Times New Roman" w:cs="Times New Roman"/>
          <w:sz w:val="24"/>
          <w:szCs w:val="24"/>
        </w:rPr>
        <w:tab/>
      </w:r>
      <w:r w:rsidRPr="001C025B">
        <w:rPr>
          <w:rFonts w:ascii="Times New Roman" w:hAnsi="Times New Roman" w:cs="Times New Roman"/>
          <w:sz w:val="24"/>
          <w:szCs w:val="24"/>
        </w:rPr>
        <w:tab/>
        <w:t>$74550</w:t>
      </w:r>
      <w:r w:rsidRPr="001C025B">
        <w:rPr>
          <w:rFonts w:ascii="Times New Roman" w:hAnsi="Times New Roman" w:cs="Times New Roman"/>
          <w:sz w:val="24"/>
          <w:szCs w:val="24"/>
        </w:rPr>
        <w:tab/>
      </w:r>
      <w:r w:rsidRPr="001C025B">
        <w:rPr>
          <w:rFonts w:ascii="Times New Roman" w:hAnsi="Times New Roman" w:cs="Times New Roman"/>
          <w:sz w:val="24"/>
          <w:szCs w:val="24"/>
        </w:rPr>
        <w:tab/>
      </w:r>
      <w:r w:rsidRPr="001C025B">
        <w:rPr>
          <w:rFonts w:ascii="Times New Roman" w:hAnsi="Times New Roman" w:cs="Times New Roman"/>
          <w:sz w:val="24"/>
          <w:szCs w:val="24"/>
        </w:rPr>
        <w:tab/>
        <w:t>$1550</w:t>
      </w:r>
    </w:p>
    <w:sectPr w:rsidR="00614D2F" w:rsidRPr="001C025B" w:rsidSect="001C025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5BFA" w:rsidRDefault="00C05BFA" w:rsidP="001C025B">
      <w:pPr>
        <w:spacing w:after="0" w:line="240" w:lineRule="auto"/>
      </w:pPr>
      <w:r>
        <w:separator/>
      </w:r>
    </w:p>
  </w:endnote>
  <w:endnote w:type="continuationSeparator" w:id="0">
    <w:p w:rsidR="00C05BFA" w:rsidRDefault="00C05BFA" w:rsidP="001C02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5BFA" w:rsidRDefault="00C05BFA" w:rsidP="001C025B">
      <w:pPr>
        <w:spacing w:after="0" w:line="240" w:lineRule="auto"/>
      </w:pPr>
      <w:r>
        <w:separator/>
      </w:r>
    </w:p>
  </w:footnote>
  <w:footnote w:type="continuationSeparator" w:id="0">
    <w:p w:rsidR="00C05BFA" w:rsidRDefault="00C05BFA" w:rsidP="001C02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025B" w:rsidRDefault="001C025B" w:rsidP="001C025B">
    <w:pPr>
      <w:pStyle w:val="Header"/>
    </w:pPr>
    <w:r>
      <w:t xml:space="preserve">INVESTMENT                                                                                                                                                               </w:t>
    </w:r>
    <w:sdt>
      <w:sdtPr>
        <w:id w:val="205596123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1C025B" w:rsidRDefault="001C025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025B" w:rsidRDefault="001C025B">
    <w:pPr>
      <w:pStyle w:val="Header"/>
    </w:pPr>
    <w:r>
      <w:t xml:space="preserve">Running head:                                                 </w:t>
    </w:r>
    <w:r w:rsidRPr="001C025B">
      <w:t xml:space="preserve"> </w:t>
    </w:r>
    <w:r>
      <w:t xml:space="preserve">INVESTMENT  </w:t>
    </w:r>
    <w:r>
      <w:t xml:space="preserve">                                                                                    </w:t>
    </w:r>
    <w:sdt>
      <w:sdtPr>
        <w:id w:val="133726757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9B4F63"/>
    <w:multiLevelType w:val="hybridMultilevel"/>
    <w:tmpl w:val="3F4CA9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ED82C7A"/>
    <w:multiLevelType w:val="multilevel"/>
    <w:tmpl w:val="E14014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5D81"/>
    <w:rsid w:val="00085E30"/>
    <w:rsid w:val="00095202"/>
    <w:rsid w:val="001C025B"/>
    <w:rsid w:val="003208B3"/>
    <w:rsid w:val="003D150A"/>
    <w:rsid w:val="004C5D81"/>
    <w:rsid w:val="005343AB"/>
    <w:rsid w:val="006005F2"/>
    <w:rsid w:val="00614D2F"/>
    <w:rsid w:val="008C3366"/>
    <w:rsid w:val="00AB7C06"/>
    <w:rsid w:val="00C05BFA"/>
    <w:rsid w:val="00C6206F"/>
    <w:rsid w:val="00D91FB2"/>
    <w:rsid w:val="00E50106"/>
    <w:rsid w:val="00E916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7C06"/>
    <w:pPr>
      <w:ind w:left="720"/>
      <w:contextualSpacing/>
    </w:pPr>
  </w:style>
  <w:style w:type="paragraph" w:styleId="Header">
    <w:name w:val="header"/>
    <w:basedOn w:val="Normal"/>
    <w:link w:val="HeaderChar"/>
    <w:uiPriority w:val="99"/>
    <w:unhideWhenUsed/>
    <w:rsid w:val="001C02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025B"/>
  </w:style>
  <w:style w:type="paragraph" w:styleId="Footer">
    <w:name w:val="footer"/>
    <w:basedOn w:val="Normal"/>
    <w:link w:val="FooterChar"/>
    <w:uiPriority w:val="99"/>
    <w:unhideWhenUsed/>
    <w:rsid w:val="001C02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025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7C06"/>
    <w:pPr>
      <w:ind w:left="720"/>
      <w:contextualSpacing/>
    </w:pPr>
  </w:style>
  <w:style w:type="paragraph" w:styleId="Header">
    <w:name w:val="header"/>
    <w:basedOn w:val="Normal"/>
    <w:link w:val="HeaderChar"/>
    <w:uiPriority w:val="99"/>
    <w:unhideWhenUsed/>
    <w:rsid w:val="001C02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025B"/>
  </w:style>
  <w:style w:type="paragraph" w:styleId="Footer">
    <w:name w:val="footer"/>
    <w:basedOn w:val="Normal"/>
    <w:link w:val="FooterChar"/>
    <w:uiPriority w:val="99"/>
    <w:unhideWhenUsed/>
    <w:rsid w:val="001C02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02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2634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281</Words>
  <Characters>1602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Samchez</dc:creator>
  <cp:lastModifiedBy>hp</cp:lastModifiedBy>
  <cp:revision>2</cp:revision>
  <dcterms:created xsi:type="dcterms:W3CDTF">2020-03-15T10:42:00Z</dcterms:created>
  <dcterms:modified xsi:type="dcterms:W3CDTF">2020-03-15T10:42:00Z</dcterms:modified>
</cp:coreProperties>
</file>