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64C5B" w:rsidRPr="00BC5347" w:rsidP="00BC5347">
      <w:pPr>
        <w:spacing w:after="0" w:line="480" w:lineRule="auto"/>
        <w:contextualSpacing/>
        <w:jc w:val="center"/>
        <w:rPr>
          <w:rFonts w:ascii="Times New Roman" w:hAnsi="Times New Roman" w:cs="Times New Roman"/>
          <w:spacing w:val="3"/>
          <w:sz w:val="24"/>
          <w:szCs w:val="24"/>
          <w:shd w:val="clear" w:color="auto" w:fill="FFFFFF"/>
        </w:rPr>
      </w:pPr>
    </w:p>
    <w:p w:rsidR="00B64C5B" w:rsidRPr="00BC5347" w:rsidP="00BC5347">
      <w:pPr>
        <w:spacing w:after="0" w:line="480" w:lineRule="auto"/>
        <w:contextualSpacing/>
        <w:jc w:val="center"/>
        <w:rPr>
          <w:rFonts w:ascii="Times New Roman" w:hAnsi="Times New Roman" w:cs="Times New Roman"/>
          <w:spacing w:val="3"/>
          <w:sz w:val="24"/>
          <w:szCs w:val="24"/>
          <w:shd w:val="clear" w:color="auto" w:fill="FFFFFF"/>
        </w:rPr>
      </w:pPr>
    </w:p>
    <w:p w:rsidR="00B64C5B" w:rsidRPr="00BC5347" w:rsidP="00BC5347">
      <w:pPr>
        <w:spacing w:after="0" w:line="480" w:lineRule="auto"/>
        <w:contextualSpacing/>
        <w:jc w:val="center"/>
        <w:rPr>
          <w:rFonts w:ascii="Times New Roman" w:hAnsi="Times New Roman" w:cs="Times New Roman"/>
          <w:spacing w:val="3"/>
          <w:sz w:val="24"/>
          <w:szCs w:val="24"/>
          <w:shd w:val="clear" w:color="auto" w:fill="FFFFFF"/>
        </w:rPr>
      </w:pPr>
    </w:p>
    <w:p w:rsidR="00B64C5B" w:rsidRPr="00BC5347" w:rsidP="00BC5347">
      <w:pPr>
        <w:spacing w:after="0" w:line="480" w:lineRule="auto"/>
        <w:contextualSpacing/>
        <w:jc w:val="center"/>
        <w:rPr>
          <w:rFonts w:ascii="Times New Roman" w:hAnsi="Times New Roman" w:cs="Times New Roman"/>
          <w:spacing w:val="3"/>
          <w:sz w:val="24"/>
          <w:szCs w:val="24"/>
          <w:shd w:val="clear" w:color="auto" w:fill="FFFFFF"/>
        </w:rPr>
      </w:pPr>
    </w:p>
    <w:p w:rsidR="00B64C5B" w:rsidRPr="00BC5347" w:rsidP="00BC5347">
      <w:pPr>
        <w:spacing w:after="0" w:line="480" w:lineRule="auto"/>
        <w:contextualSpacing/>
        <w:jc w:val="center"/>
        <w:rPr>
          <w:rFonts w:ascii="Times New Roman" w:hAnsi="Times New Roman" w:cs="Times New Roman"/>
          <w:b/>
          <w:spacing w:val="3"/>
          <w:sz w:val="24"/>
          <w:szCs w:val="24"/>
          <w:shd w:val="clear" w:color="auto" w:fill="FFFFFF"/>
        </w:rPr>
      </w:pPr>
      <w:r w:rsidRPr="00BC5347">
        <w:rPr>
          <w:rFonts w:ascii="Times New Roman" w:hAnsi="Times New Roman" w:cs="Times New Roman"/>
          <w:b/>
          <w:spacing w:val="3"/>
          <w:sz w:val="24"/>
          <w:szCs w:val="24"/>
          <w:shd w:val="clear" w:color="auto" w:fill="FFFFFF"/>
        </w:rPr>
        <w:t>Finance</w:t>
      </w:r>
    </w:p>
    <w:p w:rsidR="00BC5347" w:rsidRPr="00BC5347" w:rsidP="00BC5347">
      <w:pPr>
        <w:spacing w:after="0" w:line="480" w:lineRule="auto"/>
        <w:contextualSpacing/>
        <w:jc w:val="center"/>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Student’s Name</w:t>
      </w:r>
    </w:p>
    <w:p w:rsidR="00BC5347" w:rsidRPr="00BC5347" w:rsidP="00BC5347">
      <w:pPr>
        <w:spacing w:after="0" w:line="480" w:lineRule="auto"/>
        <w:contextualSpacing/>
        <w:jc w:val="center"/>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Course Department, Institution</w:t>
      </w:r>
    </w:p>
    <w:p w:rsidR="00BC5347" w:rsidRPr="00BC5347" w:rsidP="00BC5347">
      <w:pPr>
        <w:spacing w:after="0" w:line="480" w:lineRule="auto"/>
        <w:contextualSpacing/>
        <w:jc w:val="center"/>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Course Code, Course Name</w:t>
      </w:r>
    </w:p>
    <w:p w:rsidR="00BC5347" w:rsidRPr="00BC5347" w:rsidP="00BC5347">
      <w:pPr>
        <w:spacing w:after="0" w:line="480" w:lineRule="auto"/>
        <w:contextualSpacing/>
        <w:jc w:val="center"/>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Instructor’s Name</w:t>
      </w:r>
    </w:p>
    <w:p w:rsidR="00BC5347" w:rsidRPr="00BC5347" w:rsidP="00BC5347">
      <w:pPr>
        <w:spacing w:after="0" w:line="480" w:lineRule="auto"/>
        <w:contextualSpacing/>
        <w:jc w:val="center"/>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Date</w:t>
      </w: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p>
    <w:p w:rsidR="00BC5347" w:rsidP="00BC5347">
      <w:pPr>
        <w:spacing w:after="0" w:line="480" w:lineRule="auto"/>
        <w:contextualSpacing/>
        <w:jc w:val="center"/>
        <w:rPr>
          <w:rFonts w:ascii="Times New Roman" w:hAnsi="Times New Roman" w:cs="Times New Roman"/>
          <w:b/>
          <w:spacing w:val="3"/>
          <w:sz w:val="24"/>
          <w:szCs w:val="24"/>
          <w:shd w:val="clear" w:color="auto" w:fill="FFFFFF"/>
        </w:rPr>
      </w:pPr>
      <w:r w:rsidRPr="00BC5347">
        <w:rPr>
          <w:rFonts w:ascii="Times New Roman" w:hAnsi="Times New Roman" w:cs="Times New Roman"/>
          <w:b/>
          <w:spacing w:val="3"/>
          <w:sz w:val="24"/>
          <w:szCs w:val="24"/>
          <w:shd w:val="clear" w:color="auto" w:fill="FFFFFF"/>
        </w:rPr>
        <w:t>Finance</w:t>
      </w:r>
    </w:p>
    <w:p w:rsidR="00B64C5B" w:rsidRPr="00BC5347" w:rsidP="00BC5347">
      <w:pPr>
        <w:pStyle w:val="ListParagraph"/>
        <w:numPr>
          <w:ilvl w:val="0"/>
          <w:numId w:val="2"/>
        </w:numPr>
        <w:spacing w:after="0" w:line="480" w:lineRule="auto"/>
        <w:rPr>
          <w:rFonts w:ascii="Times New Roman" w:hAnsi="Times New Roman" w:cs="Times New Roman"/>
          <w:b/>
          <w:spacing w:val="3"/>
          <w:sz w:val="24"/>
          <w:szCs w:val="24"/>
          <w:shd w:val="clear" w:color="auto" w:fill="FFFFFF"/>
        </w:rPr>
      </w:pPr>
      <w:r w:rsidRPr="00BC5347">
        <w:rPr>
          <w:rFonts w:ascii="Times New Roman" w:hAnsi="Times New Roman" w:cs="Times New Roman"/>
          <w:b/>
          <w:spacing w:val="3"/>
          <w:sz w:val="24"/>
          <w:szCs w:val="24"/>
          <w:shd w:val="clear" w:color="auto" w:fill="FFFFFF"/>
        </w:rPr>
        <w:t>What it means to say a buyer has a right, not obligation</w:t>
      </w:r>
    </w:p>
    <w:p w:rsidR="00B64C5B" w:rsidRPr="00BC5347" w:rsidP="00BC5347">
      <w:pPr>
        <w:spacing w:after="0" w:line="480" w:lineRule="auto"/>
        <w:contextualSpacing/>
        <w:jc w:val="both"/>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 xml:space="preserve">Buyers, also known as purchasing agents, must operate within a budget and usually bargain for the items they intend to purchase. Although a buyer can choose to buy, they are under no obligation to do so. Purchasers are under no duty to exercise their right to acquire, regardless of whether they want to do so </w:t>
      </w:r>
      <w:r w:rsidRPr="00BC5347" w:rsidR="00632AF2">
        <w:rPr>
          <w:rFonts w:ascii="Times New Roman" w:hAnsi="Times New Roman" w:cs="Times New Roman"/>
          <w:sz w:val="24"/>
          <w:szCs w:val="24"/>
          <w:shd w:val="clear" w:color="auto" w:fill="FFFFFF"/>
        </w:rPr>
        <w:t>(</w:t>
      </w:r>
      <w:r w:rsidRPr="00BC5347" w:rsidR="00620168">
        <w:rPr>
          <w:rFonts w:ascii="Times New Roman" w:hAnsi="Times New Roman" w:cs="Times New Roman"/>
          <w:sz w:val="24"/>
          <w:szCs w:val="24"/>
          <w:shd w:val="clear" w:color="auto" w:fill="FFFFFF"/>
        </w:rPr>
        <w:t>Azzopardi</w:t>
      </w:r>
      <w:r w:rsidRPr="00BC5347" w:rsidR="00620168">
        <w:rPr>
          <w:rFonts w:ascii="Times New Roman" w:hAnsi="Times New Roman" w:cs="Times New Roman"/>
          <w:sz w:val="24"/>
          <w:szCs w:val="24"/>
          <w:shd w:val="clear" w:color="auto" w:fill="FFFFFF"/>
        </w:rPr>
        <w:t xml:space="preserve">, Pace &amp; </w:t>
      </w:r>
      <w:r w:rsidRPr="00BC5347" w:rsidR="00620168">
        <w:rPr>
          <w:rFonts w:ascii="Times New Roman" w:hAnsi="Times New Roman" w:cs="Times New Roman"/>
          <w:sz w:val="24"/>
          <w:szCs w:val="24"/>
          <w:shd w:val="clear" w:color="auto" w:fill="FFFFFF"/>
        </w:rPr>
        <w:t>Schapachnik</w:t>
      </w:r>
      <w:r w:rsidRPr="00BC5347" w:rsidR="00620168">
        <w:rPr>
          <w:rFonts w:ascii="Times New Roman" w:hAnsi="Times New Roman" w:cs="Times New Roman"/>
          <w:sz w:val="24"/>
          <w:szCs w:val="24"/>
          <w:shd w:val="clear" w:color="auto" w:fill="FFFFFF"/>
        </w:rPr>
        <w:t>, 2018)</w:t>
      </w:r>
      <w:r w:rsidRPr="00BC5347">
        <w:rPr>
          <w:rFonts w:ascii="Times New Roman" w:hAnsi="Times New Roman" w:cs="Times New Roman"/>
          <w:sz w:val="24"/>
          <w:szCs w:val="24"/>
        </w:rPr>
        <w:t xml:space="preserve">. </w:t>
      </w:r>
      <w:r w:rsidRPr="00BC5347">
        <w:rPr>
          <w:rFonts w:ascii="Times New Roman" w:hAnsi="Times New Roman" w:cs="Times New Roman"/>
          <w:spacing w:val="3"/>
          <w:sz w:val="24"/>
          <w:szCs w:val="24"/>
          <w:shd w:val="clear" w:color="auto" w:fill="FFFFFF"/>
        </w:rPr>
        <w:t>A duty is a legal need to carry out a task, whereas a right is an unfettered option to carry out a job. For example, investment vehicles such as call options and put options allow investors to acquire assets at a certain price, but they are not required to do so.</w:t>
      </w:r>
    </w:p>
    <w:p w:rsidR="00B64C5B" w:rsidRPr="00BC5347" w:rsidP="00BC5347">
      <w:pPr>
        <w:pStyle w:val="ListParagraph"/>
        <w:numPr>
          <w:ilvl w:val="0"/>
          <w:numId w:val="2"/>
        </w:numPr>
        <w:spacing w:after="0" w:line="480" w:lineRule="auto"/>
        <w:jc w:val="both"/>
        <w:rPr>
          <w:rFonts w:ascii="Times New Roman" w:hAnsi="Times New Roman" w:cs="Times New Roman"/>
          <w:b/>
          <w:spacing w:val="3"/>
          <w:sz w:val="24"/>
          <w:szCs w:val="24"/>
          <w:shd w:val="clear" w:color="auto" w:fill="FFFFFF"/>
        </w:rPr>
      </w:pPr>
      <w:r w:rsidRPr="00BC5347">
        <w:rPr>
          <w:rFonts w:ascii="Times New Roman" w:hAnsi="Times New Roman" w:cs="Times New Roman"/>
          <w:b/>
          <w:spacing w:val="3"/>
          <w:sz w:val="24"/>
          <w:szCs w:val="24"/>
          <w:shd w:val="clear" w:color="auto" w:fill="FFFFFF"/>
        </w:rPr>
        <w:t>Differences between the index and stock option</w:t>
      </w:r>
    </w:p>
    <w:p w:rsidR="00B64C5B" w:rsidP="00BC5347">
      <w:pPr>
        <w:spacing w:after="0" w:line="480" w:lineRule="auto"/>
        <w:ind w:firstLine="720"/>
        <w:contextualSpacing/>
        <w:jc w:val="both"/>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t xml:space="preserve">An index option entitles the holder to purchase or sell the value of an index at a predetermined price before the expiration date. Cash is frequently the best option for settlement. The holder is under no obligation to acquire or dispose of the instrument </w:t>
      </w:r>
      <w:r w:rsidRPr="00BC5347" w:rsidR="00A6507B">
        <w:rPr>
          <w:rFonts w:ascii="Times New Roman" w:hAnsi="Times New Roman" w:cs="Times New Roman"/>
          <w:sz w:val="24"/>
          <w:szCs w:val="24"/>
          <w:shd w:val="clear" w:color="auto" w:fill="FFFFFF"/>
        </w:rPr>
        <w:t>(Zhang &amp; Zhang, 2018</w:t>
      </w:r>
      <w:r w:rsidRPr="00BC5347">
        <w:rPr>
          <w:rFonts w:ascii="Times New Roman" w:hAnsi="Times New Roman" w:cs="Times New Roman"/>
          <w:sz w:val="24"/>
          <w:szCs w:val="24"/>
          <w:shd w:val="clear" w:color="auto" w:fill="FFFFFF"/>
        </w:rPr>
        <w:t xml:space="preserve">). </w:t>
      </w:r>
      <w:r w:rsidRPr="00BC5347">
        <w:rPr>
          <w:rFonts w:ascii="Times New Roman" w:hAnsi="Times New Roman" w:cs="Times New Roman"/>
          <w:spacing w:val="3"/>
          <w:sz w:val="24"/>
          <w:szCs w:val="24"/>
          <w:shd w:val="clear" w:color="auto" w:fill="FFFFFF"/>
        </w:rPr>
        <w:t>The primary distinction between the index and stock options is the number of firms whose stocks are included. A stock option, for example, is based on a single stock of a firm, but an index option is based on a larg</w:t>
      </w:r>
      <w:r w:rsidRPr="00BC5347" w:rsidR="00A6507B">
        <w:rPr>
          <w:rFonts w:ascii="Times New Roman" w:hAnsi="Times New Roman" w:cs="Times New Roman"/>
          <w:spacing w:val="3"/>
          <w:sz w:val="24"/>
          <w:szCs w:val="24"/>
          <w:shd w:val="clear" w:color="auto" w:fill="FFFFFF"/>
        </w:rPr>
        <w:t>e number of stocks in the index</w:t>
      </w:r>
      <w:r w:rsidRPr="00BC5347">
        <w:rPr>
          <w:rFonts w:ascii="Times New Roman" w:hAnsi="Times New Roman" w:cs="Times New Roman"/>
          <w:sz w:val="24"/>
          <w:szCs w:val="24"/>
          <w:shd w:val="clear" w:color="auto" w:fill="FFFFFF"/>
        </w:rPr>
        <w:t xml:space="preserve">. </w:t>
      </w:r>
      <w:r w:rsidRPr="00BC5347">
        <w:rPr>
          <w:rFonts w:ascii="Times New Roman" w:hAnsi="Times New Roman" w:cs="Times New Roman"/>
          <w:spacing w:val="3"/>
          <w:sz w:val="24"/>
          <w:szCs w:val="24"/>
          <w:shd w:val="clear" w:color="auto" w:fill="FFFFFF"/>
        </w:rPr>
        <w:t>Besides, when trading index options, the index serves as the underlyi</w:t>
      </w:r>
      <w:r w:rsidRPr="00BC5347" w:rsidR="006A02CD">
        <w:rPr>
          <w:rFonts w:ascii="Times New Roman" w:hAnsi="Times New Roman" w:cs="Times New Roman"/>
          <w:spacing w:val="3"/>
          <w:sz w:val="24"/>
          <w:szCs w:val="24"/>
          <w:shd w:val="clear" w:color="auto" w:fill="FFFFFF"/>
        </w:rPr>
        <w:t xml:space="preserve">ng asset, not individual firms, while for </w:t>
      </w:r>
      <w:r w:rsidRPr="00BC5347">
        <w:rPr>
          <w:rFonts w:ascii="Times New Roman" w:hAnsi="Times New Roman" w:cs="Times New Roman"/>
          <w:spacing w:val="3"/>
          <w:sz w:val="24"/>
          <w:szCs w:val="24"/>
          <w:shd w:val="clear" w:color="auto" w:fill="FFFFFF"/>
        </w:rPr>
        <w:t xml:space="preserve">stock options, the underlying asset is the underlying stock. </w:t>
      </w:r>
      <w:r w:rsidRPr="00BC5347" w:rsidR="006A02CD">
        <w:rPr>
          <w:rFonts w:ascii="Times New Roman" w:hAnsi="Times New Roman" w:cs="Times New Roman"/>
          <w:spacing w:val="3"/>
          <w:sz w:val="24"/>
          <w:szCs w:val="24"/>
          <w:shd w:val="clear" w:color="auto" w:fill="FFFFFF"/>
        </w:rPr>
        <w:t xml:space="preserve">Finally, </w:t>
      </w:r>
      <w:r w:rsidRPr="00BC5347">
        <w:rPr>
          <w:rFonts w:ascii="Times New Roman" w:hAnsi="Times New Roman" w:cs="Times New Roman"/>
          <w:spacing w:val="3"/>
          <w:sz w:val="24"/>
          <w:szCs w:val="24"/>
          <w:shd w:val="clear" w:color="auto" w:fill="FFFFFF"/>
        </w:rPr>
        <w:t>ind</w:t>
      </w:r>
      <w:r w:rsidRPr="00BC5347" w:rsidR="006A02CD">
        <w:rPr>
          <w:rFonts w:ascii="Times New Roman" w:hAnsi="Times New Roman" w:cs="Times New Roman"/>
          <w:spacing w:val="3"/>
          <w:sz w:val="24"/>
          <w:szCs w:val="24"/>
          <w:shd w:val="clear" w:color="auto" w:fill="FFFFFF"/>
        </w:rPr>
        <w:t xml:space="preserve">ex options are a market sector hence </w:t>
      </w:r>
      <w:r w:rsidRPr="00BC5347">
        <w:rPr>
          <w:rFonts w:ascii="Times New Roman" w:hAnsi="Times New Roman" w:cs="Times New Roman"/>
          <w:spacing w:val="3"/>
          <w:sz w:val="24"/>
          <w:szCs w:val="24"/>
          <w:shd w:val="clear" w:color="auto" w:fill="FFFFFF"/>
        </w:rPr>
        <w:t>more secure and liquid</w:t>
      </w:r>
      <w:r w:rsidRPr="00BC5347" w:rsidR="006A02CD">
        <w:rPr>
          <w:rFonts w:ascii="Times New Roman" w:hAnsi="Times New Roman" w:cs="Times New Roman"/>
          <w:spacing w:val="3"/>
          <w:sz w:val="24"/>
          <w:szCs w:val="24"/>
          <w:shd w:val="clear" w:color="auto" w:fill="FFFFFF"/>
        </w:rPr>
        <w:t>, entailing</w:t>
      </w:r>
      <w:r w:rsidRPr="00BC5347">
        <w:rPr>
          <w:rFonts w:ascii="Times New Roman" w:hAnsi="Times New Roman" w:cs="Times New Roman"/>
          <w:spacing w:val="3"/>
          <w:sz w:val="24"/>
          <w:szCs w:val="24"/>
          <w:shd w:val="clear" w:color="auto" w:fill="FFFFFF"/>
        </w:rPr>
        <w:t xml:space="preserve"> several dangers because it is a single business with stock options. If you trade indices, you increase your chances of profiting, but your profit margin may be less. On the other side, if you profitably trade stock options, your profit margin grows.</w:t>
      </w:r>
    </w:p>
    <w:p w:rsidR="00BC5347" w:rsidRPr="00BC5347" w:rsidP="00BC5347">
      <w:pPr>
        <w:spacing w:after="0" w:line="480" w:lineRule="auto"/>
        <w:ind w:firstLine="720"/>
        <w:contextualSpacing/>
        <w:jc w:val="both"/>
        <w:rPr>
          <w:rFonts w:ascii="Times New Roman" w:hAnsi="Times New Roman" w:cs="Times New Roman"/>
          <w:spacing w:val="3"/>
          <w:sz w:val="24"/>
          <w:szCs w:val="24"/>
          <w:shd w:val="clear" w:color="auto" w:fill="FFFFFF"/>
        </w:rPr>
      </w:pPr>
    </w:p>
    <w:p w:rsidR="006A02CD" w:rsidRPr="00BC5347" w:rsidP="00BC5347">
      <w:pPr>
        <w:pStyle w:val="ListParagraph"/>
        <w:numPr>
          <w:ilvl w:val="0"/>
          <w:numId w:val="2"/>
        </w:numPr>
        <w:spacing w:after="0" w:line="480" w:lineRule="auto"/>
        <w:jc w:val="both"/>
        <w:rPr>
          <w:rFonts w:ascii="Times New Roman" w:hAnsi="Times New Roman" w:cs="Times New Roman"/>
          <w:b/>
          <w:sz w:val="24"/>
          <w:szCs w:val="24"/>
          <w:shd w:val="clear" w:color="auto" w:fill="FFFFFF"/>
        </w:rPr>
      </w:pPr>
      <w:r w:rsidRPr="00BC5347">
        <w:rPr>
          <w:rFonts w:ascii="Times New Roman" w:hAnsi="Times New Roman" w:cs="Times New Roman"/>
          <w:b/>
          <w:sz w:val="24"/>
          <w:szCs w:val="24"/>
          <w:shd w:val="clear" w:color="auto" w:fill="FFFFFF"/>
        </w:rPr>
        <w:t>The maximum amount the buyer of an option can lose</w:t>
      </w:r>
    </w:p>
    <w:p w:rsidR="00B64C5B" w:rsidRPr="00BC5347" w:rsidP="00BC5347">
      <w:pPr>
        <w:spacing w:after="0" w:line="480" w:lineRule="auto"/>
        <w:ind w:firstLine="720"/>
        <w:contextualSpacing/>
        <w:jc w:val="both"/>
        <w:rPr>
          <w:rFonts w:ascii="Times New Roman" w:hAnsi="Times New Roman" w:cs="Times New Roman"/>
          <w:sz w:val="24"/>
          <w:szCs w:val="24"/>
          <w:shd w:val="clear" w:color="auto" w:fill="FFFFFF"/>
        </w:rPr>
      </w:pPr>
      <w:r w:rsidRPr="00BC5347">
        <w:rPr>
          <w:rFonts w:ascii="Times New Roman" w:hAnsi="Times New Roman" w:cs="Times New Roman"/>
          <w:spacing w:val="3"/>
          <w:sz w:val="24"/>
          <w:szCs w:val="24"/>
          <w:shd w:val="clear" w:color="auto" w:fill="FFFFFF"/>
        </w:rPr>
        <w:t xml:space="preserve">When the option price is subtracted, either a gain or a loss may occur. </w:t>
      </w:r>
      <w:r w:rsidRPr="00BC5347" w:rsidR="00632AF2">
        <w:rPr>
          <w:rFonts w:ascii="Times New Roman" w:hAnsi="Times New Roman" w:cs="Times New Roman"/>
          <w:spacing w:val="3"/>
          <w:sz w:val="24"/>
          <w:szCs w:val="24"/>
          <w:shd w:val="clear" w:color="auto" w:fill="FFFFFF"/>
        </w:rPr>
        <w:t xml:space="preserve">Maximum loss is the premium already paid for buying the put option. </w:t>
      </w:r>
      <w:r w:rsidRPr="00BC5347">
        <w:rPr>
          <w:rFonts w:ascii="Times New Roman" w:hAnsi="Times New Roman" w:cs="Times New Roman"/>
          <w:spacing w:val="3"/>
          <w:sz w:val="24"/>
          <w:szCs w:val="24"/>
          <w:shd w:val="clear" w:color="auto" w:fill="FFFFFF"/>
        </w:rPr>
        <w:t>When the market price and striking price are equal to or more than the strike price, the option holder may elect not to exercise the option, therefore limiting their loss to the optional price paid.</w:t>
      </w:r>
    </w:p>
    <w:p w:rsidR="00B64C5B" w:rsidRPr="00BC5347" w:rsidP="00BC5347">
      <w:pPr>
        <w:spacing w:after="0" w:line="480" w:lineRule="auto"/>
        <w:contextualSpacing/>
        <w:jc w:val="both"/>
        <w:rPr>
          <w:rFonts w:ascii="Times New Roman" w:hAnsi="Times New Roman" w:cs="Times New Roman"/>
          <w:spacing w:val="3"/>
          <w:sz w:val="24"/>
          <w:szCs w:val="24"/>
          <w:shd w:val="clear" w:color="auto" w:fill="FFFFFF"/>
        </w:rPr>
      </w:pPr>
      <w:r w:rsidRPr="00BC5347">
        <w:rPr>
          <w:rFonts w:ascii="Times New Roman" w:hAnsi="Times New Roman" w:cs="Times New Roman"/>
          <w:spacing w:val="3"/>
          <w:sz w:val="24"/>
          <w:szCs w:val="24"/>
          <w:shd w:val="clear" w:color="auto" w:fill="FFFFFF"/>
        </w:rPr>
        <w:br w:type="page"/>
      </w:r>
    </w:p>
    <w:p w:rsidR="00B64C5B" w:rsidRPr="00BC5347" w:rsidP="00BC5347">
      <w:pPr>
        <w:pStyle w:val="Heading1"/>
        <w:spacing w:line="480" w:lineRule="auto"/>
        <w:jc w:val="center"/>
        <w:rPr>
          <w:rFonts w:ascii="Times New Roman" w:hAnsi="Times New Roman" w:cs="Times New Roman"/>
          <w:b/>
          <w:bCs/>
          <w:color w:val="auto"/>
          <w:sz w:val="24"/>
          <w:szCs w:val="24"/>
          <w:shd w:val="clear" w:color="auto" w:fill="FFFFFF"/>
        </w:rPr>
      </w:pPr>
      <w:r w:rsidRPr="00BC5347">
        <w:rPr>
          <w:rFonts w:ascii="Times New Roman" w:hAnsi="Times New Roman" w:cs="Times New Roman"/>
          <w:b/>
          <w:bCs/>
          <w:color w:val="auto"/>
          <w:sz w:val="24"/>
          <w:szCs w:val="24"/>
          <w:shd w:val="clear" w:color="auto" w:fill="FFFFFF"/>
        </w:rPr>
        <w:t>References</w:t>
      </w:r>
    </w:p>
    <w:p w:rsidR="00620168" w:rsidRPr="00BC5347" w:rsidP="00BC5347">
      <w:pPr>
        <w:spacing w:after="0" w:line="480" w:lineRule="auto"/>
        <w:ind w:left="720" w:hanging="720"/>
        <w:contextualSpacing/>
        <w:jc w:val="both"/>
        <w:rPr>
          <w:rFonts w:ascii="Times New Roman" w:hAnsi="Times New Roman" w:cs="Times New Roman"/>
          <w:sz w:val="24"/>
          <w:szCs w:val="24"/>
          <w:shd w:val="clear" w:color="auto" w:fill="FFFFFF"/>
        </w:rPr>
      </w:pPr>
      <w:r w:rsidRPr="00BC5347">
        <w:rPr>
          <w:rFonts w:ascii="Times New Roman" w:hAnsi="Times New Roman" w:cs="Times New Roman"/>
          <w:sz w:val="24"/>
          <w:szCs w:val="24"/>
          <w:shd w:val="clear" w:color="auto" w:fill="FFFFFF"/>
        </w:rPr>
        <w:t>Azzopardi</w:t>
      </w:r>
      <w:r w:rsidRPr="00BC5347">
        <w:rPr>
          <w:rFonts w:ascii="Times New Roman" w:hAnsi="Times New Roman" w:cs="Times New Roman"/>
          <w:sz w:val="24"/>
          <w:szCs w:val="24"/>
          <w:shd w:val="clear" w:color="auto" w:fill="FFFFFF"/>
        </w:rPr>
        <w:t xml:space="preserve">, S., Pace, G. J., &amp; </w:t>
      </w:r>
      <w:r w:rsidRPr="00BC5347">
        <w:rPr>
          <w:rFonts w:ascii="Times New Roman" w:hAnsi="Times New Roman" w:cs="Times New Roman"/>
          <w:sz w:val="24"/>
          <w:szCs w:val="24"/>
          <w:shd w:val="clear" w:color="auto" w:fill="FFFFFF"/>
        </w:rPr>
        <w:t>Schapachnik</w:t>
      </w:r>
      <w:r w:rsidRPr="00BC5347">
        <w:rPr>
          <w:rFonts w:ascii="Times New Roman" w:hAnsi="Times New Roman" w:cs="Times New Roman"/>
          <w:sz w:val="24"/>
          <w:szCs w:val="24"/>
          <w:shd w:val="clear" w:color="auto" w:fill="FFFFFF"/>
        </w:rPr>
        <w:t>, F. (2018).</w:t>
      </w:r>
      <w:r w:rsidRPr="00BC5347">
        <w:rPr>
          <w:rFonts w:ascii="Times New Roman" w:hAnsi="Times New Roman" w:cs="Times New Roman"/>
          <w:sz w:val="24"/>
          <w:szCs w:val="24"/>
          <w:shd w:val="clear" w:color="auto" w:fill="FFFFFF"/>
        </w:rPr>
        <w:t xml:space="preserve"> On observing contracts: deontic contracts meet smart contracts. In </w:t>
      </w:r>
      <w:r w:rsidRPr="00BC5347">
        <w:rPr>
          <w:rFonts w:ascii="Times New Roman" w:hAnsi="Times New Roman" w:cs="Times New Roman"/>
          <w:i/>
          <w:iCs/>
          <w:sz w:val="24"/>
          <w:szCs w:val="24"/>
          <w:shd w:val="clear" w:color="auto" w:fill="FFFFFF"/>
        </w:rPr>
        <w:t>Legal Knowledge and Information Systems</w:t>
      </w:r>
      <w:r w:rsidRPr="00BC5347">
        <w:rPr>
          <w:rFonts w:ascii="Times New Roman" w:hAnsi="Times New Roman" w:cs="Times New Roman"/>
          <w:sz w:val="24"/>
          <w:szCs w:val="24"/>
          <w:shd w:val="clear" w:color="auto" w:fill="FFFFFF"/>
        </w:rPr>
        <w:t xml:space="preserve"> (pp. 21-30). </w:t>
      </w:r>
      <w:r w:rsidRPr="00BC5347">
        <w:rPr>
          <w:rFonts w:ascii="Times New Roman" w:hAnsi="Times New Roman" w:cs="Times New Roman"/>
          <w:sz w:val="24"/>
          <w:szCs w:val="24"/>
          <w:shd w:val="clear" w:color="auto" w:fill="FFFFFF"/>
        </w:rPr>
        <w:t>IOS Press.</w:t>
      </w:r>
    </w:p>
    <w:p w:rsidR="00620168" w:rsidRPr="00BC5347" w:rsidP="00BC5347">
      <w:pPr>
        <w:spacing w:after="0" w:line="480" w:lineRule="auto"/>
        <w:ind w:left="720" w:hanging="720"/>
        <w:contextualSpacing/>
        <w:jc w:val="both"/>
        <w:rPr>
          <w:rFonts w:ascii="Times New Roman" w:hAnsi="Times New Roman" w:cs="Times New Roman"/>
          <w:sz w:val="24"/>
          <w:szCs w:val="24"/>
          <w:shd w:val="clear" w:color="auto" w:fill="FFFFFF"/>
        </w:rPr>
      </w:pPr>
      <w:r w:rsidRPr="00BC5347">
        <w:rPr>
          <w:rFonts w:ascii="Times New Roman" w:hAnsi="Times New Roman" w:cs="Times New Roman"/>
          <w:sz w:val="24"/>
          <w:szCs w:val="24"/>
          <w:shd w:val="clear" w:color="auto" w:fill="FFFFFF"/>
        </w:rPr>
        <w:t>Zhang, C., &amp; Zhang, J. (2018, March).</w:t>
      </w:r>
      <w:r w:rsidRPr="00BC5347">
        <w:rPr>
          <w:rFonts w:ascii="Times New Roman" w:hAnsi="Times New Roman" w:cs="Times New Roman"/>
          <w:sz w:val="24"/>
          <w:szCs w:val="24"/>
          <w:shd w:val="clear" w:color="auto" w:fill="FFFFFF"/>
        </w:rPr>
        <w:t xml:space="preserve"> An Investigation on a Pattern of Virtual Executive Stock Option Based on Multidimensional Performance Indices. In </w:t>
      </w:r>
      <w:r w:rsidRPr="00BC5347">
        <w:rPr>
          <w:rFonts w:ascii="Times New Roman" w:hAnsi="Times New Roman" w:cs="Times New Roman"/>
          <w:i/>
          <w:iCs/>
          <w:sz w:val="24"/>
          <w:szCs w:val="24"/>
          <w:shd w:val="clear" w:color="auto" w:fill="FFFFFF"/>
        </w:rPr>
        <w:t xml:space="preserve">2018 International Conference on Mathematics, </w:t>
      </w:r>
      <w:r w:rsidRPr="00BC5347">
        <w:rPr>
          <w:rFonts w:ascii="Times New Roman" w:hAnsi="Times New Roman" w:cs="Times New Roman"/>
          <w:i/>
          <w:iCs/>
          <w:sz w:val="24"/>
          <w:szCs w:val="24"/>
          <w:shd w:val="clear" w:color="auto" w:fill="FFFFFF"/>
        </w:rPr>
        <w:t>Modelling</w:t>
      </w:r>
      <w:r w:rsidRPr="00BC5347">
        <w:rPr>
          <w:rFonts w:ascii="Times New Roman" w:hAnsi="Times New Roman" w:cs="Times New Roman"/>
          <w:i/>
          <w:iCs/>
          <w:sz w:val="24"/>
          <w:szCs w:val="24"/>
          <w:shd w:val="clear" w:color="auto" w:fill="FFFFFF"/>
        </w:rPr>
        <w:t>, Simulation and Algorithms (MMSA 2018)</w:t>
      </w:r>
      <w:r w:rsidRPr="00BC5347">
        <w:rPr>
          <w:rFonts w:ascii="Times New Roman" w:hAnsi="Times New Roman" w:cs="Times New Roman"/>
          <w:sz w:val="24"/>
          <w:szCs w:val="24"/>
          <w:shd w:val="clear" w:color="auto" w:fill="FFFFFF"/>
        </w:rPr>
        <w:t xml:space="preserve"> (pp. 408-412). </w:t>
      </w:r>
      <w:r w:rsidRPr="00BC5347">
        <w:rPr>
          <w:rFonts w:ascii="Times New Roman" w:hAnsi="Times New Roman" w:cs="Times New Roman"/>
          <w:sz w:val="24"/>
          <w:szCs w:val="24"/>
          <w:shd w:val="clear" w:color="auto" w:fill="FFFFFF"/>
        </w:rPr>
        <w:t>Atlantis Press.</w:t>
      </w:r>
    </w:p>
    <w:p w:rsidR="00C36AE4" w:rsidRPr="00BC5347" w:rsidP="00BC5347">
      <w:pPr>
        <w:spacing w:line="480" w:lineRule="auto"/>
        <w:rPr>
          <w:rFonts w:ascii="Times New Roman" w:hAnsi="Times New Roman" w:cs="Times New Roman"/>
          <w:sz w:val="24"/>
          <w:szCs w:val="24"/>
        </w:rPr>
      </w:pPr>
      <w:bookmarkStart w:id="0" w:name="_GoBack"/>
      <w:bookmarkEnd w:id="0"/>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3115759"/>
      <w:docPartObj>
        <w:docPartGallery w:val="Page Numbers (Top of Page)"/>
        <w:docPartUnique/>
      </w:docPartObj>
    </w:sdtPr>
    <w:sdtEndPr>
      <w:rPr>
        <w:noProof/>
      </w:rPr>
    </w:sdtEndPr>
    <w:sdtContent>
      <w:p w:rsidR="00BC5347">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BC5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146E01"/>
    <w:multiLevelType w:val="hybridMultilevel"/>
    <w:tmpl w:val="D092F4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73C5548"/>
    <w:multiLevelType w:val="hybridMultilevel"/>
    <w:tmpl w:val="D78815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3D"/>
    <w:rsid w:val="00126A0C"/>
    <w:rsid w:val="0027593D"/>
    <w:rsid w:val="00620168"/>
    <w:rsid w:val="00632AF2"/>
    <w:rsid w:val="006A02CD"/>
    <w:rsid w:val="00A6507B"/>
    <w:rsid w:val="00B64C5B"/>
    <w:rsid w:val="00BC5347"/>
    <w:rsid w:val="00C36AE4"/>
    <w:rsid w:val="00F705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5B"/>
    <w:pPr>
      <w:spacing w:after="160" w:line="256" w:lineRule="auto"/>
    </w:pPr>
    <w:rPr>
      <w:rFonts w:eastAsiaTheme="minorEastAsia"/>
      <w:lang w:eastAsia="ja-JP"/>
    </w:rPr>
  </w:style>
  <w:style w:type="paragraph" w:styleId="Heading1">
    <w:name w:val="heading 1"/>
    <w:basedOn w:val="Normal"/>
    <w:next w:val="Normal"/>
    <w:link w:val="Heading1Char"/>
    <w:uiPriority w:val="9"/>
    <w:qFormat/>
    <w:rsid w:val="00B64C5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C5B"/>
    <w:rPr>
      <w:rFonts w:asciiTheme="majorHAnsi" w:eastAsiaTheme="majorEastAsia" w:hAnsiTheme="majorHAnsi" w:cstheme="majorBidi"/>
      <w:color w:val="365F91" w:themeColor="accent1" w:themeShade="BF"/>
      <w:sz w:val="32"/>
      <w:szCs w:val="32"/>
      <w:lang w:eastAsia="ja-JP"/>
    </w:rPr>
  </w:style>
  <w:style w:type="paragraph" w:styleId="ListParagraph">
    <w:name w:val="List Paragraph"/>
    <w:basedOn w:val="Normal"/>
    <w:uiPriority w:val="34"/>
    <w:qFormat/>
    <w:rsid w:val="00B64C5B"/>
    <w:pPr>
      <w:ind w:left="720"/>
      <w:contextualSpacing/>
    </w:pPr>
  </w:style>
  <w:style w:type="paragraph" w:styleId="Header">
    <w:name w:val="header"/>
    <w:basedOn w:val="Normal"/>
    <w:link w:val="HeaderChar"/>
    <w:uiPriority w:val="99"/>
    <w:unhideWhenUsed/>
    <w:rsid w:val="00BC5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347"/>
    <w:rPr>
      <w:rFonts w:eastAsiaTheme="minorEastAsia"/>
      <w:lang w:eastAsia="ja-JP"/>
    </w:rPr>
  </w:style>
  <w:style w:type="paragraph" w:styleId="Footer">
    <w:name w:val="footer"/>
    <w:basedOn w:val="Normal"/>
    <w:link w:val="FooterChar"/>
    <w:uiPriority w:val="99"/>
    <w:unhideWhenUsed/>
    <w:rsid w:val="00BC5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347"/>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7</cp:revision>
  <dcterms:created xsi:type="dcterms:W3CDTF">2021-09-19T17:58:00Z</dcterms:created>
  <dcterms:modified xsi:type="dcterms:W3CDTF">2021-09-19T20:30:00Z</dcterms:modified>
</cp:coreProperties>
</file>