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7D89" w:rsidRDefault="00DA7D89" w:rsidP="00DA7D89">
      <w:pPr>
        <w:spacing w:line="480" w:lineRule="auto"/>
        <w:jc w:val="center"/>
        <w:rPr>
          <w:rFonts w:ascii="Times New Roman" w:hAnsi="Times New Roman" w:cs="Times New Roman"/>
          <w:sz w:val="24"/>
          <w:szCs w:val="24"/>
        </w:rPr>
      </w:pPr>
    </w:p>
    <w:p w:rsidR="00DA7D89" w:rsidRDefault="00DA7D89" w:rsidP="00DA7D89">
      <w:pPr>
        <w:spacing w:line="480" w:lineRule="auto"/>
        <w:jc w:val="center"/>
        <w:rPr>
          <w:rFonts w:ascii="Times New Roman" w:hAnsi="Times New Roman" w:cs="Times New Roman"/>
          <w:sz w:val="24"/>
          <w:szCs w:val="24"/>
        </w:rPr>
      </w:pPr>
    </w:p>
    <w:p w:rsidR="00DA7D89" w:rsidRDefault="00DA7D89" w:rsidP="00DA7D89">
      <w:pPr>
        <w:spacing w:line="480" w:lineRule="auto"/>
        <w:jc w:val="center"/>
        <w:rPr>
          <w:rFonts w:ascii="Times New Roman" w:hAnsi="Times New Roman" w:cs="Times New Roman"/>
          <w:sz w:val="24"/>
          <w:szCs w:val="24"/>
        </w:rPr>
      </w:pPr>
    </w:p>
    <w:p w:rsidR="00DA7D89" w:rsidRDefault="00DA7D89" w:rsidP="00DA7D89">
      <w:pPr>
        <w:spacing w:line="480" w:lineRule="auto"/>
        <w:jc w:val="center"/>
        <w:rPr>
          <w:rFonts w:ascii="Times New Roman" w:hAnsi="Times New Roman" w:cs="Times New Roman"/>
          <w:sz w:val="24"/>
          <w:szCs w:val="24"/>
        </w:rPr>
      </w:pPr>
    </w:p>
    <w:p w:rsidR="00DA7D89" w:rsidRDefault="00DA7D89" w:rsidP="00DA7D89">
      <w:pPr>
        <w:spacing w:line="480" w:lineRule="auto"/>
        <w:jc w:val="center"/>
        <w:rPr>
          <w:rFonts w:ascii="Times New Roman" w:hAnsi="Times New Roman" w:cs="Times New Roman"/>
          <w:sz w:val="24"/>
          <w:szCs w:val="24"/>
        </w:rPr>
      </w:pPr>
    </w:p>
    <w:p w:rsidR="00DA7D89" w:rsidRDefault="00DA7D89" w:rsidP="00DA7D89">
      <w:pPr>
        <w:spacing w:line="480" w:lineRule="auto"/>
        <w:jc w:val="center"/>
        <w:rPr>
          <w:rFonts w:ascii="Times New Roman" w:hAnsi="Times New Roman" w:cs="Times New Roman"/>
          <w:sz w:val="24"/>
          <w:szCs w:val="24"/>
        </w:rPr>
      </w:pPr>
    </w:p>
    <w:p w:rsidR="00DA7D89" w:rsidRDefault="00DA7D89" w:rsidP="00DA7D89">
      <w:pPr>
        <w:spacing w:line="480" w:lineRule="auto"/>
        <w:jc w:val="center"/>
        <w:rPr>
          <w:rFonts w:ascii="Times New Roman" w:hAnsi="Times New Roman" w:cs="Times New Roman"/>
          <w:sz w:val="24"/>
          <w:szCs w:val="24"/>
        </w:rPr>
      </w:pPr>
    </w:p>
    <w:p w:rsidR="00DA7D89" w:rsidRDefault="00DA7D89" w:rsidP="00DA7D89">
      <w:pPr>
        <w:spacing w:line="480" w:lineRule="auto"/>
        <w:jc w:val="center"/>
        <w:rPr>
          <w:rFonts w:ascii="Times New Roman" w:hAnsi="Times New Roman" w:cs="Times New Roman"/>
          <w:sz w:val="24"/>
          <w:szCs w:val="24"/>
        </w:rPr>
      </w:pPr>
    </w:p>
    <w:p w:rsidR="00DA7D89" w:rsidRDefault="00DA7D89" w:rsidP="00DA7D89">
      <w:pPr>
        <w:spacing w:line="480" w:lineRule="auto"/>
        <w:jc w:val="center"/>
        <w:rPr>
          <w:rFonts w:ascii="Times New Roman" w:hAnsi="Times New Roman" w:cs="Times New Roman"/>
          <w:sz w:val="24"/>
          <w:szCs w:val="24"/>
        </w:rPr>
      </w:pPr>
    </w:p>
    <w:p w:rsidR="001D36C7" w:rsidRPr="00DA7D89" w:rsidRDefault="001D36C7" w:rsidP="00DA7D89">
      <w:pPr>
        <w:spacing w:line="480" w:lineRule="auto"/>
        <w:jc w:val="center"/>
        <w:rPr>
          <w:rFonts w:ascii="Times New Roman" w:hAnsi="Times New Roman" w:cs="Times New Roman"/>
          <w:sz w:val="24"/>
          <w:szCs w:val="24"/>
        </w:rPr>
      </w:pPr>
      <w:r w:rsidRPr="00DA7D89">
        <w:rPr>
          <w:rFonts w:ascii="Times New Roman" w:hAnsi="Times New Roman" w:cs="Times New Roman"/>
          <w:sz w:val="24"/>
          <w:szCs w:val="24"/>
        </w:rPr>
        <w:t>Project Decision Making</w:t>
      </w:r>
    </w:p>
    <w:p w:rsidR="00D85647" w:rsidRPr="00DA7D89" w:rsidRDefault="00D85647" w:rsidP="00DA7D89">
      <w:pPr>
        <w:spacing w:line="480" w:lineRule="auto"/>
        <w:jc w:val="center"/>
        <w:rPr>
          <w:rFonts w:ascii="Times New Roman" w:hAnsi="Times New Roman" w:cs="Times New Roman"/>
          <w:sz w:val="24"/>
          <w:szCs w:val="24"/>
        </w:rPr>
      </w:pPr>
      <w:r w:rsidRPr="00DA7D89">
        <w:rPr>
          <w:rFonts w:ascii="Times New Roman" w:hAnsi="Times New Roman" w:cs="Times New Roman"/>
          <w:sz w:val="24"/>
          <w:szCs w:val="24"/>
        </w:rPr>
        <w:t>Student’s Name</w:t>
      </w:r>
    </w:p>
    <w:p w:rsidR="00D85647" w:rsidRPr="00DA7D89" w:rsidRDefault="00D85647" w:rsidP="00DA7D89">
      <w:pPr>
        <w:spacing w:line="480" w:lineRule="auto"/>
        <w:jc w:val="center"/>
        <w:rPr>
          <w:rFonts w:ascii="Times New Roman" w:hAnsi="Times New Roman" w:cs="Times New Roman"/>
          <w:sz w:val="24"/>
          <w:szCs w:val="24"/>
        </w:rPr>
      </w:pPr>
      <w:r w:rsidRPr="00DA7D89">
        <w:rPr>
          <w:rFonts w:ascii="Times New Roman" w:hAnsi="Times New Roman" w:cs="Times New Roman"/>
          <w:sz w:val="24"/>
          <w:szCs w:val="24"/>
        </w:rPr>
        <w:t>Institution</w:t>
      </w:r>
    </w:p>
    <w:p w:rsidR="006F145A" w:rsidRPr="00DA7D89" w:rsidRDefault="006F145A" w:rsidP="00DA7D89">
      <w:pPr>
        <w:spacing w:line="480" w:lineRule="auto"/>
        <w:rPr>
          <w:rFonts w:ascii="Times New Roman" w:hAnsi="Times New Roman" w:cs="Times New Roman"/>
          <w:sz w:val="24"/>
          <w:szCs w:val="24"/>
        </w:rPr>
      </w:pPr>
      <w:r w:rsidRPr="00DA7D89">
        <w:rPr>
          <w:rFonts w:ascii="Times New Roman" w:hAnsi="Times New Roman" w:cs="Times New Roman"/>
          <w:sz w:val="24"/>
          <w:szCs w:val="24"/>
        </w:rPr>
        <w:br w:type="page"/>
      </w:r>
    </w:p>
    <w:p w:rsidR="00BF7203" w:rsidRDefault="009238A7" w:rsidP="00BF7203">
      <w:pPr>
        <w:spacing w:after="0" w:line="480" w:lineRule="auto"/>
        <w:contextualSpacing/>
        <w:jc w:val="center"/>
        <w:rPr>
          <w:rFonts w:ascii="Times New Roman" w:hAnsi="Times New Roman" w:cs="Times New Roman"/>
          <w:sz w:val="24"/>
          <w:szCs w:val="24"/>
        </w:rPr>
      </w:pPr>
      <w:r w:rsidRPr="00DA7D89">
        <w:rPr>
          <w:rFonts w:ascii="Times New Roman" w:hAnsi="Times New Roman" w:cs="Times New Roman"/>
          <w:sz w:val="24"/>
          <w:szCs w:val="24"/>
        </w:rPr>
        <w:lastRenderedPageBreak/>
        <w:t>Executive Summary</w:t>
      </w:r>
    </w:p>
    <w:p w:rsidR="003D406E" w:rsidRPr="00DA7D89" w:rsidRDefault="003D406E" w:rsidP="00BF7203">
      <w:pPr>
        <w:spacing w:after="0" w:line="480" w:lineRule="auto"/>
        <w:ind w:firstLine="720"/>
        <w:contextualSpacing/>
        <w:rPr>
          <w:rFonts w:ascii="Times New Roman" w:hAnsi="Times New Roman" w:cs="Times New Roman"/>
          <w:sz w:val="24"/>
          <w:szCs w:val="24"/>
        </w:rPr>
      </w:pPr>
      <w:r w:rsidRPr="00DA7D89">
        <w:rPr>
          <w:rFonts w:ascii="Times New Roman" w:hAnsi="Times New Roman" w:cs="Times New Roman"/>
          <w:sz w:val="24"/>
          <w:szCs w:val="24"/>
        </w:rPr>
        <w:t>Strategic projects are a common business venture adopted by firms as a measure of growth. These projects demand critical investment decision-making tools to determine the viability of each project available for implementation. The method of financing investments varies from debt to equity finances. Organizations take up projects to increase their revenue generation levels as a measure of remaining competitive in the market place. The option to invest in the building of new stores or takeovers is a strategic decision that redefines the respective organization’s market position. Scylace has at its disposal the option of building new superstores at location A and B or building one store and taking over the Helibeb’s clothing retail store. The most viable project likely to be adopted is expected to result in the adjustment of the firm’s marketing positioning due to the changes expected to occur on productivity and profitability levels.</w:t>
      </w:r>
    </w:p>
    <w:p w:rsidR="003D406E" w:rsidRPr="00DA7D89" w:rsidRDefault="003D406E" w:rsidP="00BF7203">
      <w:pPr>
        <w:spacing w:after="0" w:line="480" w:lineRule="auto"/>
        <w:ind w:firstLine="720"/>
        <w:contextualSpacing/>
        <w:rPr>
          <w:rFonts w:ascii="Times New Roman" w:hAnsi="Times New Roman" w:cs="Times New Roman"/>
          <w:sz w:val="24"/>
          <w:szCs w:val="24"/>
        </w:rPr>
      </w:pPr>
      <w:r w:rsidRPr="00DA7D89">
        <w:rPr>
          <w:rFonts w:ascii="Times New Roman" w:hAnsi="Times New Roman" w:cs="Times New Roman"/>
          <w:sz w:val="24"/>
          <w:szCs w:val="24"/>
        </w:rPr>
        <w:t>According to the assessments carried out on the investment cost and the projected financial reports, the most viable project that will be implemented is the building of a superstore in location A and acquisition of Helibeb’s plc. The new establishment put up in location A is quite costly, but the returns are worthy of the venture. Mergers and acquisitions are a standard mechanism used to facilitate the growth of a firm. Based on the financial projections presented for Helibeb plc, the takeover option is also a viable project worthy investment. The viability is based on the profitability and productivity of the project, which is accounted for through the calculation of financial ratios. Some of the financial calculations done include estimation of the net profit margin, book gearing, and the turnover of capital employed. These ratios give insight into the financial health status of Helibeb plc.</w:t>
      </w:r>
    </w:p>
    <w:p w:rsidR="003D406E" w:rsidRPr="00DA7D89" w:rsidRDefault="003D406E" w:rsidP="00DA7D89">
      <w:pPr>
        <w:spacing w:line="480" w:lineRule="auto"/>
        <w:rPr>
          <w:rFonts w:ascii="Times New Roman" w:hAnsi="Times New Roman" w:cs="Times New Roman"/>
          <w:sz w:val="24"/>
          <w:szCs w:val="24"/>
        </w:rPr>
      </w:pPr>
      <w:r w:rsidRPr="00DA7D89">
        <w:rPr>
          <w:rFonts w:ascii="Times New Roman" w:hAnsi="Times New Roman" w:cs="Times New Roman"/>
          <w:sz w:val="24"/>
          <w:szCs w:val="24"/>
        </w:rPr>
        <w:t xml:space="preserve">  </w:t>
      </w:r>
    </w:p>
    <w:p w:rsidR="003D406E" w:rsidRPr="00DA7D89" w:rsidRDefault="003D406E" w:rsidP="00BF7203">
      <w:pPr>
        <w:spacing w:after="0" w:line="480" w:lineRule="auto"/>
        <w:contextualSpacing/>
        <w:jc w:val="center"/>
        <w:rPr>
          <w:rFonts w:ascii="Times New Roman" w:hAnsi="Times New Roman" w:cs="Times New Roman"/>
          <w:sz w:val="24"/>
          <w:szCs w:val="24"/>
        </w:rPr>
      </w:pPr>
      <w:r w:rsidRPr="00DA7D89">
        <w:rPr>
          <w:rFonts w:ascii="Times New Roman" w:hAnsi="Times New Roman" w:cs="Times New Roman"/>
          <w:sz w:val="24"/>
          <w:szCs w:val="24"/>
        </w:rPr>
        <w:br w:type="page"/>
        <w:t>Project Decision Making</w:t>
      </w:r>
    </w:p>
    <w:p w:rsidR="003D406E" w:rsidRPr="00DA7D89" w:rsidRDefault="003D406E" w:rsidP="00BF7203">
      <w:pPr>
        <w:spacing w:after="0" w:line="480" w:lineRule="auto"/>
        <w:contextualSpacing/>
        <w:jc w:val="center"/>
        <w:rPr>
          <w:rFonts w:ascii="Times New Roman" w:hAnsi="Times New Roman" w:cs="Times New Roman"/>
          <w:b/>
          <w:sz w:val="24"/>
          <w:szCs w:val="24"/>
        </w:rPr>
      </w:pPr>
      <w:r w:rsidRPr="00DA7D89">
        <w:rPr>
          <w:rFonts w:ascii="Times New Roman" w:hAnsi="Times New Roman" w:cs="Times New Roman"/>
          <w:b/>
          <w:sz w:val="24"/>
          <w:szCs w:val="24"/>
        </w:rPr>
        <w:t>Introduction</w:t>
      </w:r>
    </w:p>
    <w:p w:rsidR="003D406E" w:rsidRPr="00DA7D89" w:rsidRDefault="003D406E" w:rsidP="00BF7203">
      <w:pPr>
        <w:spacing w:after="0" w:line="480" w:lineRule="auto"/>
        <w:ind w:firstLine="720"/>
        <w:contextualSpacing/>
        <w:rPr>
          <w:rFonts w:ascii="Times New Roman" w:hAnsi="Times New Roman" w:cs="Times New Roman"/>
          <w:sz w:val="24"/>
          <w:szCs w:val="24"/>
        </w:rPr>
      </w:pPr>
      <w:r w:rsidRPr="00DA7D89">
        <w:rPr>
          <w:rFonts w:ascii="Times New Roman" w:hAnsi="Times New Roman" w:cs="Times New Roman"/>
          <w:sz w:val="24"/>
          <w:szCs w:val="24"/>
        </w:rPr>
        <w:t>Investment projects are a critical element of business growth that take the form of proposals which a firm can implement if it is rendered viable from the perspective of financial projections. Scylace plc is a retail store that takes care of customer’s grocery needs. The grocery retail chain wants to acquire Helibeb or build superstores in two locations. Scylace’s investment decision will be based on an assessment of the viability of the aforementioned projects. According to Schwerdt (2010), investment decisions are guided by the selection of assets and liabilities to achieve an optimal portfolio that increases value for a firm. As a result, a detailed financial description of both projects will be provided to arrive at an appropriate recommendation on the best investment decision. The factors critical in the selection of an optimal investment between building both superstores in location A and B and acquiring Helibeb include the return on investment, expected profitability levels, and different stakeholder satisfaction rates including the shareholders. On that note, an analysis of the aforementioned factors will be conducted, and the viable projects for Scylace plc are provided.</w:t>
      </w:r>
    </w:p>
    <w:p w:rsidR="003D406E" w:rsidRPr="00DA7D89" w:rsidRDefault="003D406E" w:rsidP="00BF7203">
      <w:pPr>
        <w:spacing w:after="0" w:line="480" w:lineRule="auto"/>
        <w:contextualSpacing/>
        <w:jc w:val="center"/>
        <w:rPr>
          <w:rFonts w:ascii="Times New Roman" w:hAnsi="Times New Roman" w:cs="Times New Roman"/>
          <w:b/>
          <w:sz w:val="24"/>
          <w:szCs w:val="24"/>
        </w:rPr>
      </w:pPr>
      <w:r w:rsidRPr="00DA7D89">
        <w:rPr>
          <w:rFonts w:ascii="Times New Roman" w:hAnsi="Times New Roman" w:cs="Times New Roman"/>
          <w:b/>
          <w:sz w:val="24"/>
          <w:szCs w:val="24"/>
        </w:rPr>
        <w:t>Investment Selection Criteria</w:t>
      </w:r>
    </w:p>
    <w:p w:rsidR="003D406E" w:rsidRPr="00DA7D89" w:rsidRDefault="003D406E" w:rsidP="00BF7203">
      <w:pPr>
        <w:spacing w:after="0" w:line="480" w:lineRule="auto"/>
        <w:contextualSpacing/>
        <w:jc w:val="center"/>
        <w:rPr>
          <w:rFonts w:ascii="Times New Roman" w:hAnsi="Times New Roman" w:cs="Times New Roman"/>
          <w:b/>
          <w:i/>
          <w:sz w:val="24"/>
          <w:szCs w:val="24"/>
        </w:rPr>
      </w:pPr>
      <w:r w:rsidRPr="00DA7D89">
        <w:rPr>
          <w:rFonts w:ascii="Times New Roman" w:hAnsi="Times New Roman" w:cs="Times New Roman"/>
          <w:b/>
          <w:i/>
          <w:sz w:val="24"/>
          <w:szCs w:val="24"/>
        </w:rPr>
        <w:t>Business Finance</w:t>
      </w:r>
    </w:p>
    <w:p w:rsidR="003D406E" w:rsidRPr="00DA7D89" w:rsidRDefault="003D406E" w:rsidP="00BF7203">
      <w:pPr>
        <w:spacing w:after="0" w:line="480" w:lineRule="auto"/>
        <w:ind w:firstLine="720"/>
        <w:contextualSpacing/>
        <w:rPr>
          <w:rFonts w:ascii="Times New Roman" w:hAnsi="Times New Roman" w:cs="Times New Roman"/>
          <w:sz w:val="24"/>
          <w:szCs w:val="24"/>
        </w:rPr>
      </w:pPr>
      <w:r w:rsidRPr="00DA7D89">
        <w:rPr>
          <w:rFonts w:ascii="Times New Roman" w:hAnsi="Times New Roman" w:cs="Times New Roman"/>
          <w:sz w:val="24"/>
          <w:szCs w:val="24"/>
        </w:rPr>
        <w:t>Financial control is an essential concept in the selection of a viable project. The control entails the availability of finances and the cost of investment. In this case, the cost of building the superstore in location A and B, and that of acquiring Helibeb plc, a clothing retail store. Knowledge transfer is critical in new ventures to guide the decision-making process of business, including financial control measures (Picot-Coupey, Burt, and Cliquet, 2014). There are different financing mechanisms a firm can adopt to obtain the required funds to venture into an investment. Debt, equity, and the firm’s capital are the primary forms of financing available for Scylace Plc. The firm could issue shares in the market place and expect funds from the new shareholders to finance its respective projects. These shareholders, in return, expect the firm to act in their best interest and increase value for their investment. Scylace already has issued shares before, which pay a dividend of 24.00 p per share and has its shares trading at a nominal rate of £1 per share. The firm is focused on increasing shareholder value evident through the expected constant growth in dividends at a rate of 3% as further illustrated in figure 1 below.</w:t>
      </w:r>
    </w:p>
    <w:p w:rsidR="003D406E" w:rsidRPr="00DA7D89" w:rsidRDefault="003D406E" w:rsidP="00DA7D89">
      <w:pPr>
        <w:spacing w:line="480" w:lineRule="auto"/>
        <w:rPr>
          <w:rFonts w:ascii="Times New Roman" w:hAnsi="Times New Roman" w:cs="Times New Roman"/>
          <w:sz w:val="24"/>
          <w:szCs w:val="24"/>
        </w:rPr>
      </w:pPr>
      <w:r w:rsidRPr="00DA7D89">
        <w:rPr>
          <w:rFonts w:ascii="Times New Roman" w:hAnsi="Times New Roman" w:cs="Times New Roman"/>
          <w:sz w:val="24"/>
          <w:szCs w:val="24"/>
        </w:rPr>
        <w:t xml:space="preserve"> </w:t>
      </w:r>
      <w:bookmarkStart w:id="0" w:name="_MON_1628039703"/>
      <w:bookmarkEnd w:id="0"/>
      <w:r w:rsidR="00C12997" w:rsidRPr="00DA7D89">
        <w:rPr>
          <w:rFonts w:ascii="Times New Roman" w:hAnsi="Times New Roman" w:cs="Times New Roman"/>
          <w:sz w:val="24"/>
          <w:szCs w:val="24"/>
        </w:rPr>
        <w:object w:dxaOrig="4064" w:dyaOrig="8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3.25pt;height:45pt" o:ole="">
            <v:imagedata r:id="rId7" o:title=""/>
          </v:shape>
          <o:OLEObject Type="Embed" ProgID="Excel.Sheet.12" ShapeID="_x0000_i1025" DrawAspect="Content" ObjectID="_1628041064" r:id="rId8"/>
        </w:object>
      </w:r>
    </w:p>
    <w:p w:rsidR="003D406E" w:rsidRPr="00DA7D89" w:rsidRDefault="003D406E" w:rsidP="00BF7203">
      <w:pPr>
        <w:spacing w:after="0" w:line="480" w:lineRule="auto"/>
        <w:contextualSpacing/>
        <w:rPr>
          <w:rFonts w:ascii="Times New Roman" w:hAnsi="Times New Roman" w:cs="Times New Roman"/>
          <w:sz w:val="24"/>
          <w:szCs w:val="24"/>
        </w:rPr>
      </w:pPr>
      <w:r w:rsidRPr="00DA7D89">
        <w:rPr>
          <w:rFonts w:ascii="Times New Roman" w:hAnsi="Times New Roman" w:cs="Times New Roman"/>
          <w:sz w:val="24"/>
          <w:szCs w:val="24"/>
        </w:rPr>
        <w:t>Figure 1: Dividend Growth Rate</w:t>
      </w:r>
    </w:p>
    <w:p w:rsidR="00BF7203" w:rsidRDefault="003D406E" w:rsidP="00BF7203">
      <w:pPr>
        <w:spacing w:after="0" w:line="480" w:lineRule="auto"/>
        <w:ind w:firstLine="720"/>
        <w:contextualSpacing/>
        <w:rPr>
          <w:rFonts w:ascii="Times New Roman" w:hAnsi="Times New Roman" w:cs="Times New Roman"/>
          <w:sz w:val="24"/>
          <w:szCs w:val="24"/>
        </w:rPr>
      </w:pPr>
      <w:r w:rsidRPr="00DA7D89">
        <w:rPr>
          <w:rFonts w:ascii="Times New Roman" w:hAnsi="Times New Roman" w:cs="Times New Roman"/>
          <w:sz w:val="24"/>
          <w:szCs w:val="24"/>
        </w:rPr>
        <w:t>On the other hand, debt financing is also a common financing mechanism in which a firm borrows funds from banks or other avenues in the form of loans. Debt financing not only raises the required funds but also ensures that the shareholder’s shares in the firm are not reduced. This measure is in line with a firm’s role in ensuring that an investment decision is in the best interest of shareholders. The two debt financing mechanisms available for Scylace plc include the issuance of a 20-year bond and a 50-year bond. Corporate bonds are a recommendable way of raising funds as they are much controllable; as a result, secure. Upon issuing corporate bonds, Scylace plc is in a position to set fixed interest rates which are advantageous as they mitigate the risk of changes in interest rate attributed to the changing economic conditions. However, it is also crucial for Scylace to understand that raising funds through bonds also has its limitations. For instance, bond interest has to be paid regardless of losses; as a result, can reduce shareholder value since the interest payments are prioritized over any other obligation.</w:t>
      </w:r>
    </w:p>
    <w:p w:rsidR="003D406E" w:rsidRPr="00DA7D89" w:rsidRDefault="003D406E" w:rsidP="00BF7203">
      <w:pPr>
        <w:spacing w:after="0" w:line="480" w:lineRule="auto"/>
        <w:ind w:firstLine="720"/>
        <w:contextualSpacing/>
        <w:rPr>
          <w:rFonts w:ascii="Times New Roman" w:hAnsi="Times New Roman" w:cs="Times New Roman"/>
          <w:sz w:val="24"/>
          <w:szCs w:val="24"/>
        </w:rPr>
      </w:pPr>
      <w:r w:rsidRPr="00DA7D89">
        <w:rPr>
          <w:rFonts w:ascii="Times New Roman" w:hAnsi="Times New Roman" w:cs="Times New Roman"/>
          <w:sz w:val="24"/>
          <w:szCs w:val="24"/>
        </w:rPr>
        <w:t>The redemption yield of each bond is similar to the yield to maturity, which reflects the rate of return or the capital gain or loss expected. The redemption yield is actualized if the investors hold their respective bonds to maturity date when the investment amount and interest accrued is paid. Both bonds available for Scylace have a similar face value but appreciate differently due to the difference in nominal interest rates of 8% and 6.5% for the 20 year and 50-year bond respectively. The yield to redemption for the 20-year bond is 3.32% while the 50-year bond has a 4.51% yield to maturity. The 50-year bond has a higher yield market rate compared to the 20-year bond but has a low predicted market price. On that note, Scylace should obtain funds from the 20-year bond which trades at a predicted market price of £150 compared to the 20-year bond which trades at £120. The 20-year bond is recommendable due to affordability purposes that is it will raise a significant amount of funds; at the same time, has a low yield to maturity which reduces the firm’s expenses since it is less costly.</w:t>
      </w:r>
    </w:p>
    <w:p w:rsidR="003D406E" w:rsidRPr="00DA7D89" w:rsidRDefault="003D406E" w:rsidP="00BF7203">
      <w:pPr>
        <w:spacing w:after="0" w:line="480" w:lineRule="auto"/>
        <w:contextualSpacing/>
        <w:jc w:val="center"/>
        <w:rPr>
          <w:rFonts w:ascii="Times New Roman" w:hAnsi="Times New Roman" w:cs="Times New Roman"/>
          <w:b/>
          <w:i/>
          <w:sz w:val="24"/>
          <w:szCs w:val="24"/>
        </w:rPr>
      </w:pPr>
      <w:r w:rsidRPr="00DA7D89">
        <w:rPr>
          <w:rFonts w:ascii="Times New Roman" w:hAnsi="Times New Roman" w:cs="Times New Roman"/>
          <w:b/>
          <w:i/>
          <w:sz w:val="24"/>
          <w:szCs w:val="24"/>
        </w:rPr>
        <w:t>Evaluation of the Project Investments</w:t>
      </w:r>
    </w:p>
    <w:p w:rsidR="00BF7203" w:rsidRDefault="003D406E" w:rsidP="00BF7203">
      <w:pPr>
        <w:spacing w:after="0" w:line="480" w:lineRule="auto"/>
        <w:ind w:firstLine="720"/>
        <w:contextualSpacing/>
        <w:rPr>
          <w:rFonts w:ascii="Times New Roman" w:hAnsi="Times New Roman" w:cs="Times New Roman"/>
          <w:sz w:val="24"/>
          <w:szCs w:val="24"/>
        </w:rPr>
      </w:pPr>
      <w:r w:rsidRPr="00DA7D89">
        <w:rPr>
          <w:rFonts w:ascii="Times New Roman" w:hAnsi="Times New Roman" w:cs="Times New Roman"/>
          <w:sz w:val="24"/>
          <w:szCs w:val="24"/>
        </w:rPr>
        <w:t>Scylace is focused on building two superstores in location A and Location B or either. The cost of building in the two locations are different, so is the annual profits expected to be generated from business activities within the premise. The viability of the most appropriate project will be based on the yearly profits made and the rate of return on investment. Building a store in location A is much costly compared to location B, which involve a rate of £40 and £25 million, respectively. The generation of profits is the main objective of any investment venture made by a business enterprise. A firm that incurs losses on investments made has a short life span.</w:t>
      </w:r>
    </w:p>
    <w:p w:rsidR="00BF7203" w:rsidRDefault="003D406E" w:rsidP="00BF7203">
      <w:pPr>
        <w:spacing w:after="0" w:line="480" w:lineRule="auto"/>
        <w:ind w:firstLine="720"/>
        <w:contextualSpacing/>
        <w:rPr>
          <w:rFonts w:ascii="Times New Roman" w:hAnsi="Times New Roman" w:cs="Times New Roman"/>
          <w:sz w:val="24"/>
          <w:szCs w:val="24"/>
        </w:rPr>
      </w:pPr>
      <w:r w:rsidRPr="00DA7D89">
        <w:rPr>
          <w:rFonts w:ascii="Times New Roman" w:hAnsi="Times New Roman" w:cs="Times New Roman"/>
          <w:sz w:val="24"/>
          <w:szCs w:val="24"/>
        </w:rPr>
        <w:t xml:space="preserve">Therefore, increasing profitability levels are used to assess the viability of projects since high-profit projections mean the investments are rewardable. As a result, the investment is deemed viable for implementation. The profitability levels of organizations provide adequate information on the financial health of the firm and serve as an attractive tool for other business activities. For instance, investors observe the trends in profit generation to make investment decisions. On that note, highly profitable investments attract more investors, which </w:t>
      </w:r>
      <w:r w:rsidR="00BF7203" w:rsidRPr="00DA7D89">
        <w:rPr>
          <w:rFonts w:ascii="Times New Roman" w:hAnsi="Times New Roman" w:cs="Times New Roman"/>
          <w:sz w:val="24"/>
          <w:szCs w:val="24"/>
        </w:rPr>
        <w:t>imply</w:t>
      </w:r>
      <w:r w:rsidRPr="00DA7D89">
        <w:rPr>
          <w:rFonts w:ascii="Times New Roman" w:hAnsi="Times New Roman" w:cs="Times New Roman"/>
          <w:sz w:val="24"/>
          <w:szCs w:val="24"/>
        </w:rPr>
        <w:t xml:space="preserve"> more finance to fund the cost of investment will be generated.</w:t>
      </w:r>
    </w:p>
    <w:p w:rsidR="00BF7203" w:rsidRDefault="003D406E" w:rsidP="00BF7203">
      <w:pPr>
        <w:spacing w:after="0" w:line="480" w:lineRule="auto"/>
        <w:ind w:firstLine="720"/>
        <w:contextualSpacing/>
        <w:rPr>
          <w:rFonts w:ascii="Times New Roman" w:hAnsi="Times New Roman" w:cs="Times New Roman"/>
          <w:sz w:val="24"/>
          <w:szCs w:val="24"/>
        </w:rPr>
      </w:pPr>
      <w:r w:rsidRPr="00DA7D89">
        <w:rPr>
          <w:rFonts w:ascii="Times New Roman" w:hAnsi="Times New Roman" w:cs="Times New Roman"/>
          <w:sz w:val="24"/>
          <w:szCs w:val="24"/>
        </w:rPr>
        <w:t>The annual profits expected to be generated by Scylace plc are calculated as the difference between the annual sales revenue and the yearly cost of sales, staff costs, depreciation, and other annual costs. The results for location A is £1 million, while location B is expected to generate a profit of £0.66 million. The initial investment is expected to generate higher profits compared to the latter. However, it is essential to note that the project for location A is much costly despite the generation of high profits. Regardless, based on profitability levels, Scylace should build a store in location A since it will generate higher returns.</w:t>
      </w:r>
    </w:p>
    <w:p w:rsidR="00BF7203" w:rsidRDefault="005764B8" w:rsidP="00BF7203">
      <w:pPr>
        <w:spacing w:after="0" w:line="480" w:lineRule="auto"/>
        <w:ind w:firstLine="720"/>
        <w:contextualSpacing/>
        <w:rPr>
          <w:rFonts w:ascii="Times New Roman" w:hAnsi="Times New Roman" w:cs="Times New Roman"/>
          <w:sz w:val="24"/>
          <w:szCs w:val="24"/>
        </w:rPr>
      </w:pPr>
      <w:r w:rsidRPr="00DA7D89">
        <w:rPr>
          <w:rFonts w:ascii="Times New Roman" w:hAnsi="Times New Roman" w:cs="Times New Roman"/>
          <w:sz w:val="24"/>
          <w:szCs w:val="24"/>
        </w:rPr>
        <w:t xml:space="preserve">The average investment cost is an additional factor that requires assessment to determine the viability of a project in a bid to determine the best combination between building one store and acquiring Helibeb plc or building superstores in both locations. </w:t>
      </w:r>
      <w:r w:rsidR="00D90ABC" w:rsidRPr="00DA7D89">
        <w:rPr>
          <w:rFonts w:ascii="Times New Roman" w:hAnsi="Times New Roman" w:cs="Times New Roman"/>
          <w:sz w:val="24"/>
          <w:szCs w:val="24"/>
        </w:rPr>
        <w:t>The average investment facilitates the calculation of the return on investment</w:t>
      </w:r>
      <w:r w:rsidR="002C3B8D" w:rsidRPr="00DA7D89">
        <w:rPr>
          <w:rFonts w:ascii="Times New Roman" w:hAnsi="Times New Roman" w:cs="Times New Roman"/>
          <w:sz w:val="24"/>
          <w:szCs w:val="24"/>
        </w:rPr>
        <w:t xml:space="preserve"> and is calculated as the average of cost of new superstore and the residual value</w:t>
      </w:r>
      <w:r w:rsidR="00D90ABC" w:rsidRPr="00DA7D89">
        <w:rPr>
          <w:rFonts w:ascii="Times New Roman" w:hAnsi="Times New Roman" w:cs="Times New Roman"/>
          <w:sz w:val="24"/>
          <w:szCs w:val="24"/>
        </w:rPr>
        <w:t xml:space="preserve">. </w:t>
      </w:r>
      <w:r w:rsidR="002C3B8D" w:rsidRPr="00DA7D89">
        <w:rPr>
          <w:rFonts w:ascii="Times New Roman" w:hAnsi="Times New Roman" w:cs="Times New Roman"/>
          <w:sz w:val="24"/>
          <w:szCs w:val="24"/>
        </w:rPr>
        <w:t>The residual value is the final value of investment</w:t>
      </w:r>
      <w:r w:rsidR="002B4B0A" w:rsidRPr="00DA7D89">
        <w:rPr>
          <w:rFonts w:ascii="Times New Roman" w:hAnsi="Times New Roman" w:cs="Times New Roman"/>
          <w:sz w:val="24"/>
          <w:szCs w:val="24"/>
        </w:rPr>
        <w:t xml:space="preserve"> </w:t>
      </w:r>
      <w:r w:rsidR="002C3B8D" w:rsidRPr="00DA7D89">
        <w:rPr>
          <w:rFonts w:ascii="Times New Roman" w:hAnsi="Times New Roman" w:cs="Times New Roman"/>
          <w:sz w:val="24"/>
          <w:szCs w:val="24"/>
        </w:rPr>
        <w:t>after</w:t>
      </w:r>
      <w:r w:rsidR="002B4B0A" w:rsidRPr="00DA7D89">
        <w:rPr>
          <w:rFonts w:ascii="Times New Roman" w:hAnsi="Times New Roman" w:cs="Times New Roman"/>
          <w:sz w:val="24"/>
          <w:szCs w:val="24"/>
        </w:rPr>
        <w:t xml:space="preserve"> depreciation of the asset is deducted on a straight line basis. In the case of Scylace, the average investment for building a superstore in location A and B is </w:t>
      </w:r>
      <w:r w:rsidR="0046596C" w:rsidRPr="00DA7D89">
        <w:rPr>
          <w:rFonts w:ascii="Times New Roman" w:hAnsi="Times New Roman" w:cs="Times New Roman"/>
          <w:sz w:val="24"/>
          <w:szCs w:val="24"/>
        </w:rPr>
        <w:t>25 and 14 respectively. The average investment cost is a</w:t>
      </w:r>
      <w:r w:rsidR="00D67E8D" w:rsidRPr="00DA7D89">
        <w:rPr>
          <w:rFonts w:ascii="Times New Roman" w:hAnsi="Times New Roman" w:cs="Times New Roman"/>
          <w:sz w:val="24"/>
          <w:szCs w:val="24"/>
        </w:rPr>
        <w:t xml:space="preserve"> </w:t>
      </w:r>
      <w:r w:rsidR="0046596C" w:rsidRPr="00DA7D89">
        <w:rPr>
          <w:rFonts w:ascii="Times New Roman" w:hAnsi="Times New Roman" w:cs="Times New Roman"/>
          <w:sz w:val="24"/>
          <w:szCs w:val="24"/>
        </w:rPr>
        <w:t>critical element of calculating</w:t>
      </w:r>
      <w:r w:rsidR="00D67E8D" w:rsidRPr="00DA7D89">
        <w:rPr>
          <w:rFonts w:ascii="Times New Roman" w:hAnsi="Times New Roman" w:cs="Times New Roman"/>
          <w:sz w:val="24"/>
          <w:szCs w:val="24"/>
        </w:rPr>
        <w:t xml:space="preserve"> </w:t>
      </w:r>
      <w:r w:rsidR="0046596C" w:rsidRPr="00DA7D89">
        <w:rPr>
          <w:rFonts w:ascii="Times New Roman" w:hAnsi="Times New Roman" w:cs="Times New Roman"/>
          <w:sz w:val="24"/>
          <w:szCs w:val="24"/>
        </w:rPr>
        <w:t>the accounting</w:t>
      </w:r>
      <w:r w:rsidR="00D67E8D" w:rsidRPr="00DA7D89">
        <w:rPr>
          <w:rFonts w:ascii="Times New Roman" w:hAnsi="Times New Roman" w:cs="Times New Roman"/>
          <w:sz w:val="24"/>
          <w:szCs w:val="24"/>
        </w:rPr>
        <w:t xml:space="preserve"> </w:t>
      </w:r>
      <w:r w:rsidR="0046596C" w:rsidRPr="00DA7D89">
        <w:rPr>
          <w:rFonts w:ascii="Times New Roman" w:hAnsi="Times New Roman" w:cs="Times New Roman"/>
          <w:sz w:val="24"/>
          <w:szCs w:val="24"/>
        </w:rPr>
        <w:t>rate of</w:t>
      </w:r>
      <w:r w:rsidR="00D67E8D" w:rsidRPr="00DA7D89">
        <w:rPr>
          <w:rFonts w:ascii="Times New Roman" w:hAnsi="Times New Roman" w:cs="Times New Roman"/>
          <w:sz w:val="24"/>
          <w:szCs w:val="24"/>
        </w:rPr>
        <w:t xml:space="preserve"> return.</w:t>
      </w:r>
    </w:p>
    <w:p w:rsidR="00BF7203" w:rsidRDefault="00933CB5" w:rsidP="00BF7203">
      <w:pPr>
        <w:spacing w:after="0" w:line="480" w:lineRule="auto"/>
        <w:ind w:firstLine="720"/>
        <w:contextualSpacing/>
        <w:rPr>
          <w:rFonts w:ascii="Times New Roman" w:hAnsi="Times New Roman" w:cs="Times New Roman"/>
          <w:sz w:val="24"/>
          <w:szCs w:val="24"/>
        </w:rPr>
      </w:pPr>
      <w:r w:rsidRPr="00DA7D89">
        <w:rPr>
          <w:rFonts w:ascii="Times New Roman" w:hAnsi="Times New Roman" w:cs="Times New Roman"/>
          <w:sz w:val="24"/>
          <w:szCs w:val="24"/>
        </w:rPr>
        <w:t>A calculation of the return on investment is critical to affirm the best investment decision before an assessment of the viability of the acquisition project. On that note</w:t>
      </w:r>
      <w:r w:rsidR="00051B6C" w:rsidRPr="00DA7D89">
        <w:rPr>
          <w:rFonts w:ascii="Times New Roman" w:hAnsi="Times New Roman" w:cs="Times New Roman"/>
          <w:sz w:val="24"/>
          <w:szCs w:val="24"/>
        </w:rPr>
        <w:t>,</w:t>
      </w:r>
      <w:r w:rsidRPr="00DA7D89">
        <w:rPr>
          <w:rFonts w:ascii="Times New Roman" w:hAnsi="Times New Roman" w:cs="Times New Roman"/>
          <w:sz w:val="24"/>
          <w:szCs w:val="24"/>
        </w:rPr>
        <w:t xml:space="preserve"> the return on investment for building in both locations is calculated as the accounting rate of return</w:t>
      </w:r>
      <w:r w:rsidR="00334D84" w:rsidRPr="00DA7D89">
        <w:rPr>
          <w:rFonts w:ascii="Times New Roman" w:hAnsi="Times New Roman" w:cs="Times New Roman"/>
          <w:sz w:val="24"/>
          <w:szCs w:val="24"/>
        </w:rPr>
        <w:t xml:space="preserve"> (ARR)</w:t>
      </w:r>
      <w:r w:rsidRPr="00DA7D89">
        <w:rPr>
          <w:rFonts w:ascii="Times New Roman" w:hAnsi="Times New Roman" w:cs="Times New Roman"/>
          <w:sz w:val="24"/>
          <w:szCs w:val="24"/>
        </w:rPr>
        <w:t>.</w:t>
      </w:r>
      <w:r w:rsidR="00334D84" w:rsidRPr="00DA7D89">
        <w:rPr>
          <w:rFonts w:ascii="Times New Roman" w:hAnsi="Times New Roman" w:cs="Times New Roman"/>
          <w:sz w:val="24"/>
          <w:szCs w:val="24"/>
        </w:rPr>
        <w:t>The ARR is used in capit</w:t>
      </w:r>
      <w:r w:rsidR="00B81020" w:rsidRPr="00DA7D89">
        <w:rPr>
          <w:rFonts w:ascii="Times New Roman" w:hAnsi="Times New Roman" w:cs="Times New Roman"/>
          <w:sz w:val="24"/>
          <w:szCs w:val="24"/>
        </w:rPr>
        <w:t>al budgeting to determine the viability of</w:t>
      </w:r>
      <w:r w:rsidR="00893148" w:rsidRPr="00DA7D89">
        <w:rPr>
          <w:rFonts w:ascii="Times New Roman" w:hAnsi="Times New Roman" w:cs="Times New Roman"/>
          <w:sz w:val="24"/>
          <w:szCs w:val="24"/>
        </w:rPr>
        <w:t xml:space="preserve"> </w:t>
      </w:r>
      <w:r w:rsidR="00B81020" w:rsidRPr="00DA7D89">
        <w:rPr>
          <w:rFonts w:ascii="Times New Roman" w:hAnsi="Times New Roman" w:cs="Times New Roman"/>
          <w:sz w:val="24"/>
          <w:szCs w:val="24"/>
        </w:rPr>
        <w:t>a proposed capital</w:t>
      </w:r>
      <w:r w:rsidR="00893148" w:rsidRPr="00DA7D89">
        <w:rPr>
          <w:rFonts w:ascii="Times New Roman" w:hAnsi="Times New Roman" w:cs="Times New Roman"/>
          <w:sz w:val="24"/>
          <w:szCs w:val="24"/>
        </w:rPr>
        <w:t xml:space="preserve"> </w:t>
      </w:r>
      <w:r w:rsidR="00B81020" w:rsidRPr="00DA7D89">
        <w:rPr>
          <w:rFonts w:ascii="Times New Roman" w:hAnsi="Times New Roman" w:cs="Times New Roman"/>
          <w:sz w:val="24"/>
          <w:szCs w:val="24"/>
        </w:rPr>
        <w:t xml:space="preserve">investment. </w:t>
      </w:r>
      <w:r w:rsidR="002E2AE2" w:rsidRPr="00DA7D89">
        <w:rPr>
          <w:rFonts w:ascii="Times New Roman" w:hAnsi="Times New Roman" w:cs="Times New Roman"/>
          <w:sz w:val="24"/>
          <w:szCs w:val="24"/>
        </w:rPr>
        <w:t xml:space="preserve">Additionally, the capital budgeting tool is also used to assess the risk levels of a firm to determine whether an investment is worth the implementation. </w:t>
      </w:r>
      <w:r w:rsidR="00A0267E" w:rsidRPr="00DA7D89">
        <w:rPr>
          <w:rFonts w:ascii="Times New Roman" w:hAnsi="Times New Roman" w:cs="Times New Roman"/>
          <w:sz w:val="24"/>
          <w:szCs w:val="24"/>
        </w:rPr>
        <w:t xml:space="preserve">In this regard, earnings that are higher than the risks facing a firm are detectable and appropriate investment decisions are made. </w:t>
      </w:r>
      <w:r w:rsidR="00EB0AFF" w:rsidRPr="00DA7D89">
        <w:rPr>
          <w:rFonts w:ascii="Times New Roman" w:hAnsi="Times New Roman" w:cs="Times New Roman"/>
          <w:sz w:val="24"/>
          <w:szCs w:val="24"/>
        </w:rPr>
        <w:t xml:space="preserve">In particular, such a risk assessment is made possible through an </w:t>
      </w:r>
      <w:r w:rsidR="00AA7616" w:rsidRPr="00DA7D89">
        <w:rPr>
          <w:rFonts w:ascii="Times New Roman" w:hAnsi="Times New Roman" w:cs="Times New Roman"/>
          <w:sz w:val="24"/>
          <w:szCs w:val="24"/>
        </w:rPr>
        <w:t xml:space="preserve">evaluation of the percentage income </w:t>
      </w:r>
      <w:r w:rsidR="005A7FB7" w:rsidRPr="00DA7D89">
        <w:rPr>
          <w:rFonts w:ascii="Times New Roman" w:hAnsi="Times New Roman" w:cs="Times New Roman"/>
          <w:sz w:val="24"/>
          <w:szCs w:val="24"/>
        </w:rPr>
        <w:t>generated by an</w:t>
      </w:r>
      <w:r w:rsidR="00D90ABC" w:rsidRPr="00DA7D89">
        <w:rPr>
          <w:rFonts w:ascii="Times New Roman" w:hAnsi="Times New Roman" w:cs="Times New Roman"/>
          <w:sz w:val="24"/>
          <w:szCs w:val="24"/>
        </w:rPr>
        <w:t xml:space="preserve"> </w:t>
      </w:r>
      <w:r w:rsidR="005A7FB7" w:rsidRPr="00DA7D89">
        <w:rPr>
          <w:rFonts w:ascii="Times New Roman" w:hAnsi="Times New Roman" w:cs="Times New Roman"/>
          <w:sz w:val="24"/>
          <w:szCs w:val="24"/>
        </w:rPr>
        <w:t xml:space="preserve">investment. </w:t>
      </w:r>
      <w:r w:rsidR="00EB0AFF" w:rsidRPr="00DA7D89">
        <w:rPr>
          <w:rFonts w:ascii="Times New Roman" w:hAnsi="Times New Roman" w:cs="Times New Roman"/>
          <w:sz w:val="24"/>
          <w:szCs w:val="24"/>
        </w:rPr>
        <w:t xml:space="preserve"> </w:t>
      </w:r>
    </w:p>
    <w:p w:rsidR="00BF7203" w:rsidRDefault="00933CB5" w:rsidP="00BF7203">
      <w:pPr>
        <w:spacing w:after="0" w:line="480" w:lineRule="auto"/>
        <w:ind w:firstLine="720"/>
        <w:contextualSpacing/>
        <w:rPr>
          <w:rFonts w:ascii="Times New Roman" w:hAnsi="Times New Roman" w:cs="Times New Roman"/>
          <w:sz w:val="24"/>
          <w:szCs w:val="24"/>
        </w:rPr>
      </w:pPr>
      <w:r w:rsidRPr="00DA7D89">
        <w:rPr>
          <w:rFonts w:ascii="Times New Roman" w:hAnsi="Times New Roman" w:cs="Times New Roman"/>
          <w:sz w:val="24"/>
          <w:szCs w:val="24"/>
        </w:rPr>
        <w:t>Building a superstore in location A has a lower return on investment compared to a store in location B albeit the difference is minute. The accounting rate of return for building a superstore in location A is 4.50 while that of location B is 4.71.</w:t>
      </w:r>
      <w:r w:rsidR="00CF1379" w:rsidRPr="00DA7D89">
        <w:rPr>
          <w:rFonts w:ascii="Times New Roman" w:hAnsi="Times New Roman" w:cs="Times New Roman"/>
          <w:sz w:val="24"/>
          <w:szCs w:val="24"/>
        </w:rPr>
        <w:t xml:space="preserve"> </w:t>
      </w:r>
      <w:r w:rsidRPr="00DA7D89">
        <w:rPr>
          <w:rFonts w:ascii="Times New Roman" w:hAnsi="Times New Roman" w:cs="Times New Roman"/>
          <w:sz w:val="24"/>
          <w:szCs w:val="24"/>
        </w:rPr>
        <w:t>Regardless</w:t>
      </w:r>
      <w:r w:rsidR="00CF1379" w:rsidRPr="00DA7D89">
        <w:rPr>
          <w:rFonts w:ascii="Times New Roman" w:hAnsi="Times New Roman" w:cs="Times New Roman"/>
          <w:sz w:val="24"/>
          <w:szCs w:val="24"/>
        </w:rPr>
        <w:t xml:space="preserve"> of the difference</w:t>
      </w:r>
      <w:r w:rsidRPr="00DA7D89">
        <w:rPr>
          <w:rFonts w:ascii="Times New Roman" w:hAnsi="Times New Roman" w:cs="Times New Roman"/>
          <w:sz w:val="24"/>
          <w:szCs w:val="24"/>
        </w:rPr>
        <w:t>, both project investments will generate positive returns on investment as depicted by the accounting rate of return.</w:t>
      </w:r>
      <w:r w:rsidR="00D67E8D" w:rsidRPr="00DA7D89">
        <w:rPr>
          <w:rFonts w:ascii="Times New Roman" w:hAnsi="Times New Roman" w:cs="Times New Roman"/>
          <w:sz w:val="24"/>
          <w:szCs w:val="24"/>
        </w:rPr>
        <w:t xml:space="preserve"> Therefore, building stores in both locations is a viable option </w:t>
      </w:r>
      <w:r w:rsidR="00921C46" w:rsidRPr="00DA7D89">
        <w:rPr>
          <w:rFonts w:ascii="Times New Roman" w:hAnsi="Times New Roman" w:cs="Times New Roman"/>
          <w:sz w:val="24"/>
          <w:szCs w:val="24"/>
        </w:rPr>
        <w:t>since they will both generate positive revenues. However,</w:t>
      </w:r>
      <w:r w:rsidR="00E75673" w:rsidRPr="00DA7D89">
        <w:rPr>
          <w:rFonts w:ascii="Times New Roman" w:hAnsi="Times New Roman" w:cs="Times New Roman"/>
          <w:sz w:val="24"/>
          <w:szCs w:val="24"/>
        </w:rPr>
        <w:t xml:space="preserve"> an assessment of the acquisition </w:t>
      </w:r>
      <w:r w:rsidR="006479DE" w:rsidRPr="00DA7D89">
        <w:rPr>
          <w:rFonts w:ascii="Times New Roman" w:hAnsi="Times New Roman" w:cs="Times New Roman"/>
          <w:sz w:val="24"/>
          <w:szCs w:val="24"/>
        </w:rPr>
        <w:t xml:space="preserve">of Helibeb plc is critical in determining </w:t>
      </w:r>
      <w:r w:rsidR="00921C46" w:rsidRPr="00DA7D89">
        <w:rPr>
          <w:rFonts w:ascii="Times New Roman" w:hAnsi="Times New Roman" w:cs="Times New Roman"/>
          <w:sz w:val="24"/>
          <w:szCs w:val="24"/>
        </w:rPr>
        <w:t>the optimal option between</w:t>
      </w:r>
      <w:r w:rsidR="004E6DF7" w:rsidRPr="00DA7D89">
        <w:rPr>
          <w:rFonts w:ascii="Times New Roman" w:hAnsi="Times New Roman" w:cs="Times New Roman"/>
          <w:sz w:val="24"/>
          <w:szCs w:val="24"/>
        </w:rPr>
        <w:t xml:space="preserve"> </w:t>
      </w:r>
      <w:r w:rsidR="00921C46" w:rsidRPr="00DA7D89">
        <w:rPr>
          <w:rFonts w:ascii="Times New Roman" w:hAnsi="Times New Roman" w:cs="Times New Roman"/>
          <w:sz w:val="24"/>
          <w:szCs w:val="24"/>
        </w:rPr>
        <w:t>building the two stores</w:t>
      </w:r>
      <w:r w:rsidR="004942FF" w:rsidRPr="00DA7D89">
        <w:rPr>
          <w:rFonts w:ascii="Times New Roman" w:hAnsi="Times New Roman" w:cs="Times New Roman"/>
          <w:sz w:val="24"/>
          <w:szCs w:val="24"/>
        </w:rPr>
        <w:t xml:space="preserve"> and engaging in an acquisition, and building one</w:t>
      </w:r>
      <w:r w:rsidR="009220CA" w:rsidRPr="00DA7D89">
        <w:rPr>
          <w:rFonts w:ascii="Times New Roman" w:hAnsi="Times New Roman" w:cs="Times New Roman"/>
          <w:sz w:val="24"/>
          <w:szCs w:val="24"/>
        </w:rPr>
        <w:t xml:space="preserve"> </w:t>
      </w:r>
      <w:r w:rsidR="004942FF" w:rsidRPr="00DA7D89">
        <w:rPr>
          <w:rFonts w:ascii="Times New Roman" w:hAnsi="Times New Roman" w:cs="Times New Roman"/>
          <w:sz w:val="24"/>
          <w:szCs w:val="24"/>
        </w:rPr>
        <w:t>store</w:t>
      </w:r>
      <w:r w:rsidR="00E75673" w:rsidRPr="00DA7D89">
        <w:rPr>
          <w:rFonts w:ascii="Times New Roman" w:hAnsi="Times New Roman" w:cs="Times New Roman"/>
          <w:sz w:val="24"/>
          <w:szCs w:val="24"/>
        </w:rPr>
        <w:t>.</w:t>
      </w:r>
      <w:r w:rsidR="00754B2F" w:rsidRPr="00DA7D89">
        <w:rPr>
          <w:rFonts w:ascii="Times New Roman" w:hAnsi="Times New Roman" w:cs="Times New Roman"/>
          <w:sz w:val="24"/>
          <w:szCs w:val="24"/>
        </w:rPr>
        <w:t xml:space="preserve"> According to Peng (2014), takeovers including mergers and acquisitions have several advantages including increased demand and revenues. It is</w:t>
      </w:r>
      <w:r w:rsidR="000E169C" w:rsidRPr="00DA7D89">
        <w:rPr>
          <w:rFonts w:ascii="Times New Roman" w:hAnsi="Times New Roman" w:cs="Times New Roman"/>
          <w:sz w:val="24"/>
          <w:szCs w:val="24"/>
        </w:rPr>
        <w:t xml:space="preserve"> on that note</w:t>
      </w:r>
      <w:r w:rsidR="00754B2F" w:rsidRPr="00DA7D89">
        <w:rPr>
          <w:rFonts w:ascii="Times New Roman" w:hAnsi="Times New Roman" w:cs="Times New Roman"/>
          <w:sz w:val="24"/>
          <w:szCs w:val="24"/>
        </w:rPr>
        <w:t xml:space="preserve"> that Scylace plc will engage in a takeover of Helibeb plc to increase</w:t>
      </w:r>
      <w:r w:rsidR="000E169C" w:rsidRPr="00DA7D89">
        <w:rPr>
          <w:rFonts w:ascii="Times New Roman" w:hAnsi="Times New Roman" w:cs="Times New Roman"/>
          <w:sz w:val="24"/>
          <w:szCs w:val="24"/>
        </w:rPr>
        <w:t xml:space="preserve"> </w:t>
      </w:r>
      <w:r w:rsidR="00754B2F" w:rsidRPr="00DA7D89">
        <w:rPr>
          <w:rFonts w:ascii="Times New Roman" w:hAnsi="Times New Roman" w:cs="Times New Roman"/>
          <w:sz w:val="24"/>
          <w:szCs w:val="24"/>
        </w:rPr>
        <w:t>its sales and revenue.</w:t>
      </w:r>
    </w:p>
    <w:p w:rsidR="00BF7203" w:rsidRDefault="006479DE" w:rsidP="00BF7203">
      <w:pPr>
        <w:spacing w:after="0" w:line="480" w:lineRule="auto"/>
        <w:ind w:firstLine="720"/>
        <w:contextualSpacing/>
        <w:rPr>
          <w:rFonts w:ascii="Times New Roman" w:hAnsi="Times New Roman" w:cs="Times New Roman"/>
          <w:sz w:val="24"/>
          <w:szCs w:val="24"/>
        </w:rPr>
      </w:pPr>
      <w:r w:rsidRPr="00DA7D89">
        <w:rPr>
          <w:rFonts w:ascii="Times New Roman" w:hAnsi="Times New Roman" w:cs="Times New Roman"/>
          <w:sz w:val="24"/>
          <w:szCs w:val="24"/>
        </w:rPr>
        <w:t>An evaluation of Helibeb’s financial statements for</w:t>
      </w:r>
      <w:r w:rsidR="0019373F" w:rsidRPr="00DA7D89">
        <w:rPr>
          <w:rFonts w:ascii="Times New Roman" w:hAnsi="Times New Roman" w:cs="Times New Roman"/>
          <w:sz w:val="24"/>
          <w:szCs w:val="24"/>
        </w:rPr>
        <w:t xml:space="preserve"> 2016,</w:t>
      </w:r>
      <w:r w:rsidRPr="00DA7D89">
        <w:rPr>
          <w:rFonts w:ascii="Times New Roman" w:hAnsi="Times New Roman" w:cs="Times New Roman"/>
          <w:sz w:val="24"/>
          <w:szCs w:val="24"/>
        </w:rPr>
        <w:t xml:space="preserve"> 2017 and 2018 provides detailed information regarding the firm’</w:t>
      </w:r>
      <w:r w:rsidR="00D41DA0" w:rsidRPr="00DA7D89">
        <w:rPr>
          <w:rFonts w:ascii="Times New Roman" w:hAnsi="Times New Roman" w:cs="Times New Roman"/>
          <w:sz w:val="24"/>
          <w:szCs w:val="24"/>
        </w:rPr>
        <w:t xml:space="preserve">s financial health. Further assessment is made possible through the use of different financial ratios calculated as outputs of the data found in the income statement and balance sheet. </w:t>
      </w:r>
      <w:r w:rsidR="00292060" w:rsidRPr="00DA7D89">
        <w:rPr>
          <w:rFonts w:ascii="Times New Roman" w:hAnsi="Times New Roman" w:cs="Times New Roman"/>
          <w:sz w:val="24"/>
          <w:szCs w:val="24"/>
        </w:rPr>
        <w:t xml:space="preserve">Helibeb is a profitable firm based on the increase in retained profits from </w:t>
      </w:r>
      <w:r w:rsidR="0019373F" w:rsidRPr="00DA7D89">
        <w:rPr>
          <w:rFonts w:ascii="Times New Roman" w:hAnsi="Times New Roman" w:cs="Times New Roman"/>
          <w:sz w:val="24"/>
          <w:szCs w:val="24"/>
        </w:rPr>
        <w:t>£</w:t>
      </w:r>
      <w:r w:rsidR="00292060" w:rsidRPr="00DA7D89">
        <w:rPr>
          <w:rFonts w:ascii="Times New Roman" w:hAnsi="Times New Roman" w:cs="Times New Roman"/>
          <w:sz w:val="24"/>
          <w:szCs w:val="24"/>
        </w:rPr>
        <w:t>10 to</w:t>
      </w:r>
      <w:r w:rsidR="0019373F" w:rsidRPr="00DA7D89">
        <w:rPr>
          <w:rFonts w:ascii="Times New Roman" w:hAnsi="Times New Roman" w:cs="Times New Roman"/>
          <w:sz w:val="24"/>
          <w:szCs w:val="24"/>
        </w:rPr>
        <w:t xml:space="preserve"> £11 million. On the other hand, the assets held by Scylace plc have increased over the three trading years making it possible to offset the increasing </w:t>
      </w:r>
      <w:r w:rsidR="003F5DBB" w:rsidRPr="00DA7D89">
        <w:rPr>
          <w:rFonts w:ascii="Times New Roman" w:hAnsi="Times New Roman" w:cs="Times New Roman"/>
          <w:sz w:val="24"/>
          <w:szCs w:val="24"/>
        </w:rPr>
        <w:t>current liabilities accrued over the three years.</w:t>
      </w:r>
    </w:p>
    <w:p w:rsidR="00BF7203" w:rsidRDefault="003F5DBB" w:rsidP="00BF7203">
      <w:pPr>
        <w:spacing w:after="0" w:line="480" w:lineRule="auto"/>
        <w:ind w:firstLine="720"/>
        <w:contextualSpacing/>
        <w:rPr>
          <w:rFonts w:ascii="Times New Roman" w:hAnsi="Times New Roman" w:cs="Times New Roman"/>
          <w:sz w:val="24"/>
          <w:szCs w:val="24"/>
        </w:rPr>
      </w:pPr>
      <w:r w:rsidRPr="00DA7D89">
        <w:rPr>
          <w:rFonts w:ascii="Times New Roman" w:hAnsi="Times New Roman" w:cs="Times New Roman"/>
          <w:sz w:val="24"/>
          <w:szCs w:val="24"/>
        </w:rPr>
        <w:t>The viability of the acquisition project is calculated using the return on shareholders’</w:t>
      </w:r>
      <w:r w:rsidR="00446806" w:rsidRPr="00DA7D89">
        <w:rPr>
          <w:rFonts w:ascii="Times New Roman" w:hAnsi="Times New Roman" w:cs="Times New Roman"/>
          <w:sz w:val="24"/>
          <w:szCs w:val="24"/>
        </w:rPr>
        <w:t xml:space="preserve"> equity that is obtained as a product of the earnings after tax and two divided by the summation of the opening and closing values of the shar</w:t>
      </w:r>
      <w:r w:rsidR="00117ABD" w:rsidRPr="00DA7D89">
        <w:rPr>
          <w:rFonts w:ascii="Times New Roman" w:hAnsi="Times New Roman" w:cs="Times New Roman"/>
          <w:sz w:val="24"/>
          <w:szCs w:val="24"/>
        </w:rPr>
        <w:t>e</w:t>
      </w:r>
      <w:r w:rsidR="00446806" w:rsidRPr="00DA7D89">
        <w:rPr>
          <w:rFonts w:ascii="Times New Roman" w:hAnsi="Times New Roman" w:cs="Times New Roman"/>
          <w:sz w:val="24"/>
          <w:szCs w:val="24"/>
        </w:rPr>
        <w:t>holders equity.</w:t>
      </w:r>
      <w:r w:rsidR="00117ABD" w:rsidRPr="00DA7D89">
        <w:rPr>
          <w:rFonts w:ascii="Times New Roman" w:hAnsi="Times New Roman" w:cs="Times New Roman"/>
          <w:sz w:val="24"/>
          <w:szCs w:val="24"/>
        </w:rPr>
        <w:t xml:space="preserve"> The return on the shareholders equity in 2017 increased from 14.80 to 15.19 in 2018. This implies that Helibeb is in a</w:t>
      </w:r>
      <w:r w:rsidR="006447D0" w:rsidRPr="00DA7D89">
        <w:rPr>
          <w:rFonts w:ascii="Times New Roman" w:hAnsi="Times New Roman" w:cs="Times New Roman"/>
          <w:sz w:val="24"/>
          <w:szCs w:val="24"/>
        </w:rPr>
        <w:t xml:space="preserve"> position to </w:t>
      </w:r>
      <w:r w:rsidR="00A64EC3" w:rsidRPr="00DA7D89">
        <w:rPr>
          <w:rFonts w:ascii="Times New Roman" w:hAnsi="Times New Roman" w:cs="Times New Roman"/>
          <w:sz w:val="24"/>
          <w:szCs w:val="24"/>
        </w:rPr>
        <w:t>generate value for the investments made</w:t>
      </w:r>
      <w:r w:rsidR="00F3479D" w:rsidRPr="00DA7D89">
        <w:rPr>
          <w:rFonts w:ascii="Times New Roman" w:hAnsi="Times New Roman" w:cs="Times New Roman"/>
          <w:sz w:val="24"/>
          <w:szCs w:val="24"/>
        </w:rPr>
        <w:t xml:space="preserve"> by shareholders, a factor that contributes to the viability of acquiring the firm. </w:t>
      </w:r>
      <w:r w:rsidR="00091DAF" w:rsidRPr="00DA7D89">
        <w:rPr>
          <w:rFonts w:ascii="Times New Roman" w:hAnsi="Times New Roman" w:cs="Times New Roman"/>
          <w:sz w:val="24"/>
          <w:szCs w:val="24"/>
        </w:rPr>
        <w:t xml:space="preserve">On a different note, an assessment of Helibeb’s turnover of capital employed </w:t>
      </w:r>
      <w:r w:rsidR="008A0665" w:rsidRPr="00DA7D89">
        <w:rPr>
          <w:rFonts w:ascii="Times New Roman" w:hAnsi="Times New Roman" w:cs="Times New Roman"/>
          <w:sz w:val="24"/>
          <w:szCs w:val="24"/>
        </w:rPr>
        <w:t xml:space="preserve">presents the efficiency of the firm in the utilization of capital to generate sales. </w:t>
      </w:r>
      <w:r w:rsidR="00FF1B74" w:rsidRPr="00DA7D89">
        <w:rPr>
          <w:rFonts w:ascii="Times New Roman" w:hAnsi="Times New Roman" w:cs="Times New Roman"/>
          <w:sz w:val="24"/>
          <w:szCs w:val="24"/>
        </w:rPr>
        <w:t>The turnover of capital employed was 3.60 but declined to 3.55 in 2018. The decrease was insignificant; as a result, no major inefficiencies were witnessed. Therefore, the ratio also provides a good basis for project implementation.</w:t>
      </w:r>
    </w:p>
    <w:p w:rsidR="00D862B4" w:rsidRPr="00DA7D89" w:rsidRDefault="00D862B4" w:rsidP="00BF7203">
      <w:pPr>
        <w:spacing w:after="0" w:line="480" w:lineRule="auto"/>
        <w:ind w:firstLine="720"/>
        <w:contextualSpacing/>
        <w:rPr>
          <w:rFonts w:ascii="Times New Roman" w:hAnsi="Times New Roman" w:cs="Times New Roman"/>
          <w:sz w:val="24"/>
          <w:szCs w:val="24"/>
        </w:rPr>
      </w:pPr>
      <w:r w:rsidRPr="00DA7D89">
        <w:rPr>
          <w:rFonts w:ascii="Times New Roman" w:hAnsi="Times New Roman" w:cs="Times New Roman"/>
          <w:sz w:val="24"/>
          <w:szCs w:val="24"/>
        </w:rPr>
        <w:t xml:space="preserve">The profitability rates of Helibeb plc could be obtained from </w:t>
      </w:r>
      <w:r w:rsidR="003A7495" w:rsidRPr="00DA7D89">
        <w:rPr>
          <w:rFonts w:ascii="Times New Roman" w:hAnsi="Times New Roman" w:cs="Times New Roman"/>
          <w:sz w:val="24"/>
          <w:szCs w:val="24"/>
        </w:rPr>
        <w:t xml:space="preserve">the netprofit margin and the operating margin. The net profit margin has increased from 2.34 to 2.60 which presents a significant rise that has been made possible through the increase in the retained earnings generated by the firm. </w:t>
      </w:r>
      <w:r w:rsidR="00755CCD" w:rsidRPr="00DA7D89">
        <w:rPr>
          <w:rFonts w:ascii="Times New Roman" w:hAnsi="Times New Roman" w:cs="Times New Roman"/>
          <w:sz w:val="24"/>
          <w:szCs w:val="24"/>
        </w:rPr>
        <w:t xml:space="preserve">On the other hand, the operating margin is a crucial measure of the profitability levels of </w:t>
      </w:r>
      <w:r w:rsidR="00891923" w:rsidRPr="00DA7D89">
        <w:rPr>
          <w:rFonts w:ascii="Times New Roman" w:hAnsi="Times New Roman" w:cs="Times New Roman"/>
          <w:sz w:val="24"/>
          <w:szCs w:val="24"/>
        </w:rPr>
        <w:t xml:space="preserve">Helibeb Plc as it gives insights into the financial status of the firm before interest, taxes and dividends are deducted. The operating margin has increased from 3.70 to 3.90, which is a positive indication of financial health. </w:t>
      </w:r>
      <w:r w:rsidR="006325AB" w:rsidRPr="00DA7D89">
        <w:rPr>
          <w:rFonts w:ascii="Times New Roman" w:hAnsi="Times New Roman" w:cs="Times New Roman"/>
          <w:sz w:val="24"/>
          <w:szCs w:val="24"/>
        </w:rPr>
        <w:t xml:space="preserve">Lastly, the book gearing ratio reveals the firm’s leverage </w:t>
      </w:r>
      <w:r w:rsidR="0087791E" w:rsidRPr="00DA7D89">
        <w:rPr>
          <w:rFonts w:ascii="Times New Roman" w:hAnsi="Times New Roman" w:cs="Times New Roman"/>
          <w:sz w:val="24"/>
          <w:szCs w:val="24"/>
        </w:rPr>
        <w:t xml:space="preserve">capacity based on the shareholders’ funds.  </w:t>
      </w:r>
    </w:p>
    <w:p w:rsidR="00A70348" w:rsidRPr="00DA7D89" w:rsidRDefault="00A70348" w:rsidP="00BF7203">
      <w:pPr>
        <w:spacing w:after="0" w:line="480" w:lineRule="auto"/>
        <w:contextualSpacing/>
        <w:jc w:val="center"/>
        <w:rPr>
          <w:rFonts w:ascii="Times New Roman" w:hAnsi="Times New Roman" w:cs="Times New Roman"/>
          <w:b/>
          <w:sz w:val="24"/>
          <w:szCs w:val="24"/>
        </w:rPr>
      </w:pPr>
      <w:r w:rsidRPr="00DA7D89">
        <w:rPr>
          <w:rFonts w:ascii="Times New Roman" w:hAnsi="Times New Roman" w:cs="Times New Roman"/>
          <w:b/>
          <w:sz w:val="24"/>
          <w:szCs w:val="24"/>
        </w:rPr>
        <w:t>Conclusion</w:t>
      </w:r>
    </w:p>
    <w:p w:rsidR="00A70348" w:rsidRPr="00DA7D89" w:rsidRDefault="00A70348" w:rsidP="00BF7203">
      <w:pPr>
        <w:spacing w:after="0" w:line="480" w:lineRule="auto"/>
        <w:ind w:firstLine="720"/>
        <w:contextualSpacing/>
        <w:rPr>
          <w:rFonts w:ascii="Times New Roman" w:hAnsi="Times New Roman" w:cs="Times New Roman"/>
          <w:sz w:val="24"/>
          <w:szCs w:val="24"/>
        </w:rPr>
      </w:pPr>
      <w:r w:rsidRPr="00DA7D89">
        <w:rPr>
          <w:rFonts w:ascii="Times New Roman" w:hAnsi="Times New Roman" w:cs="Times New Roman"/>
          <w:sz w:val="24"/>
          <w:szCs w:val="24"/>
        </w:rPr>
        <w:t xml:space="preserve">The selection of viable projects is a critical phase of business growth as it determines the </w:t>
      </w:r>
      <w:r w:rsidR="005D6BCF" w:rsidRPr="00DA7D89">
        <w:rPr>
          <w:rFonts w:ascii="Times New Roman" w:hAnsi="Times New Roman" w:cs="Times New Roman"/>
          <w:sz w:val="24"/>
          <w:szCs w:val="24"/>
        </w:rPr>
        <w:t xml:space="preserve">success rate of an organization. </w:t>
      </w:r>
      <w:r w:rsidR="001C4BAD" w:rsidRPr="00DA7D89">
        <w:rPr>
          <w:rFonts w:ascii="Times New Roman" w:hAnsi="Times New Roman" w:cs="Times New Roman"/>
          <w:sz w:val="24"/>
          <w:szCs w:val="24"/>
        </w:rPr>
        <w:t xml:space="preserve">It is on that note, that an assessment was conducted to determine the project that is worth implementation by Scylace plc. </w:t>
      </w:r>
      <w:r w:rsidR="00290569" w:rsidRPr="00DA7D89">
        <w:rPr>
          <w:rFonts w:ascii="Times New Roman" w:hAnsi="Times New Roman" w:cs="Times New Roman"/>
          <w:sz w:val="24"/>
          <w:szCs w:val="24"/>
        </w:rPr>
        <w:t xml:space="preserve"> The grocery retail chain has the option of investing in both location building or establishing one store in eithe</w:t>
      </w:r>
      <w:r w:rsidR="00524643" w:rsidRPr="00DA7D89">
        <w:rPr>
          <w:rFonts w:ascii="Times New Roman" w:hAnsi="Times New Roman" w:cs="Times New Roman"/>
          <w:sz w:val="24"/>
          <w:szCs w:val="24"/>
        </w:rPr>
        <w:t xml:space="preserve">r location A or B and acquiring the profitable Helibeb clothing retail firm. </w:t>
      </w:r>
      <w:r w:rsidR="003C312D" w:rsidRPr="00DA7D89">
        <w:rPr>
          <w:rFonts w:ascii="Times New Roman" w:hAnsi="Times New Roman" w:cs="Times New Roman"/>
          <w:sz w:val="24"/>
          <w:szCs w:val="24"/>
        </w:rPr>
        <w:t xml:space="preserve">On that note, an analysis has been conducted for Scylace to determine which project it will take up as a strategy of growth. </w:t>
      </w:r>
      <w:r w:rsidR="00195DFE" w:rsidRPr="00DA7D89">
        <w:rPr>
          <w:rFonts w:ascii="Times New Roman" w:hAnsi="Times New Roman" w:cs="Times New Roman"/>
          <w:sz w:val="24"/>
          <w:szCs w:val="24"/>
        </w:rPr>
        <w:t>In particular, the financing mechanisms were analyzed to determine the most effective option o</w:t>
      </w:r>
      <w:r w:rsidR="00B0059C" w:rsidRPr="00DA7D89">
        <w:rPr>
          <w:rFonts w:ascii="Times New Roman" w:hAnsi="Times New Roman" w:cs="Times New Roman"/>
          <w:sz w:val="24"/>
          <w:szCs w:val="24"/>
        </w:rPr>
        <w:t xml:space="preserve">f raising funds within the firm. Amongst the three options available including issuance of the 20 year or 50 year corporate bond. The bonds are the major form of </w:t>
      </w:r>
      <w:r w:rsidR="00E02ABF" w:rsidRPr="00DA7D89">
        <w:rPr>
          <w:rFonts w:ascii="Times New Roman" w:hAnsi="Times New Roman" w:cs="Times New Roman"/>
          <w:sz w:val="24"/>
          <w:szCs w:val="24"/>
        </w:rPr>
        <w:t xml:space="preserve">debt financing while Scylace has the option of issuing new shares in the market to raise funds to cater for the investment cost. </w:t>
      </w:r>
      <w:r w:rsidR="00461C16" w:rsidRPr="00DA7D89">
        <w:rPr>
          <w:rFonts w:ascii="Times New Roman" w:hAnsi="Times New Roman" w:cs="Times New Roman"/>
          <w:sz w:val="24"/>
          <w:szCs w:val="24"/>
        </w:rPr>
        <w:t>An evaluation of the best approach to raise funds leads to the analysis of the total cost incurred in the different projects available as a measure of determining the most viable project. Different factors are assessed including profitability levels and productivity in the evaluation sector.</w:t>
      </w:r>
    </w:p>
    <w:p w:rsidR="00C2087D" w:rsidRPr="00DA7D89" w:rsidRDefault="00C2087D" w:rsidP="00BF7203">
      <w:pPr>
        <w:spacing w:after="0" w:line="480" w:lineRule="auto"/>
        <w:contextualSpacing/>
        <w:jc w:val="center"/>
        <w:rPr>
          <w:rFonts w:ascii="Times New Roman" w:hAnsi="Times New Roman" w:cs="Times New Roman"/>
          <w:sz w:val="24"/>
          <w:szCs w:val="24"/>
        </w:rPr>
      </w:pPr>
      <w:r w:rsidRPr="00DA7D89">
        <w:rPr>
          <w:rFonts w:ascii="Times New Roman" w:hAnsi="Times New Roman" w:cs="Times New Roman"/>
          <w:b/>
          <w:sz w:val="24"/>
          <w:szCs w:val="24"/>
        </w:rPr>
        <w:t>Recommendation</w:t>
      </w:r>
    </w:p>
    <w:p w:rsidR="000E169C" w:rsidRPr="00DA7D89" w:rsidRDefault="00C2087D" w:rsidP="00BF7203">
      <w:pPr>
        <w:spacing w:after="0" w:line="480" w:lineRule="auto"/>
        <w:ind w:firstLine="720"/>
        <w:contextualSpacing/>
        <w:rPr>
          <w:rFonts w:ascii="Times New Roman" w:hAnsi="Times New Roman" w:cs="Times New Roman"/>
          <w:sz w:val="24"/>
          <w:szCs w:val="24"/>
        </w:rPr>
      </w:pPr>
      <w:r w:rsidRPr="00DA7D89">
        <w:rPr>
          <w:rFonts w:ascii="Times New Roman" w:hAnsi="Times New Roman" w:cs="Times New Roman"/>
          <w:sz w:val="24"/>
          <w:szCs w:val="24"/>
        </w:rPr>
        <w:t xml:space="preserve">It is recommendable that Scylace acquires Helibeb plc and build a superstore </w:t>
      </w:r>
      <w:r w:rsidR="00584455" w:rsidRPr="00DA7D89">
        <w:rPr>
          <w:rFonts w:ascii="Times New Roman" w:hAnsi="Times New Roman" w:cs="Times New Roman"/>
          <w:sz w:val="24"/>
          <w:szCs w:val="24"/>
        </w:rPr>
        <w:t>in location A as a measure of maximizing on its profitability levels; as a result</w:t>
      </w:r>
      <w:r w:rsidR="00B37649" w:rsidRPr="00DA7D89">
        <w:rPr>
          <w:rFonts w:ascii="Times New Roman" w:hAnsi="Times New Roman" w:cs="Times New Roman"/>
          <w:sz w:val="24"/>
          <w:szCs w:val="24"/>
        </w:rPr>
        <w:t>,</w:t>
      </w:r>
      <w:r w:rsidR="00584455" w:rsidRPr="00DA7D89">
        <w:rPr>
          <w:rFonts w:ascii="Times New Roman" w:hAnsi="Times New Roman" w:cs="Times New Roman"/>
          <w:sz w:val="24"/>
          <w:szCs w:val="24"/>
        </w:rPr>
        <w:t xml:space="preserve"> realize an incr</w:t>
      </w:r>
      <w:r w:rsidR="00186FAB" w:rsidRPr="00DA7D89">
        <w:rPr>
          <w:rFonts w:ascii="Times New Roman" w:hAnsi="Times New Roman" w:cs="Times New Roman"/>
          <w:sz w:val="24"/>
          <w:szCs w:val="24"/>
        </w:rPr>
        <w:t>ease in growth in the long-run.</w:t>
      </w:r>
      <w:r w:rsidR="00B37649" w:rsidRPr="00DA7D89">
        <w:rPr>
          <w:rFonts w:ascii="Times New Roman" w:hAnsi="Times New Roman" w:cs="Times New Roman"/>
          <w:sz w:val="24"/>
          <w:szCs w:val="24"/>
        </w:rPr>
        <w:t xml:space="preserve"> This investment decision has been figured out after a detaile</w:t>
      </w:r>
      <w:r w:rsidR="00E007FD" w:rsidRPr="00DA7D89">
        <w:rPr>
          <w:rFonts w:ascii="Times New Roman" w:hAnsi="Times New Roman" w:cs="Times New Roman"/>
          <w:sz w:val="24"/>
          <w:szCs w:val="24"/>
        </w:rPr>
        <w:t>d analysis of available data on the firm’s profitability levels.</w:t>
      </w:r>
      <w:r w:rsidR="00FE6CBF" w:rsidRPr="00DA7D89">
        <w:rPr>
          <w:rFonts w:ascii="Times New Roman" w:hAnsi="Times New Roman" w:cs="Times New Roman"/>
          <w:sz w:val="24"/>
          <w:szCs w:val="24"/>
        </w:rPr>
        <w:t xml:space="preserve"> The project selected is the most viable based on the high profits expected to be generated. </w:t>
      </w:r>
      <w:r w:rsidR="0080724E" w:rsidRPr="00DA7D89">
        <w:rPr>
          <w:rFonts w:ascii="Times New Roman" w:hAnsi="Times New Roman" w:cs="Times New Roman"/>
          <w:sz w:val="24"/>
          <w:szCs w:val="24"/>
        </w:rPr>
        <w:t xml:space="preserve">In particular, </w:t>
      </w:r>
      <w:r w:rsidR="003E3A23" w:rsidRPr="00DA7D89">
        <w:rPr>
          <w:rFonts w:ascii="Times New Roman" w:hAnsi="Times New Roman" w:cs="Times New Roman"/>
          <w:sz w:val="24"/>
          <w:szCs w:val="24"/>
        </w:rPr>
        <w:t xml:space="preserve">building a superstore in location A will imply that the firm will make a profit of £1 million compared to the £0.66 million likely to be generated from building the stores in location B. </w:t>
      </w:r>
      <w:r w:rsidR="00B632FC" w:rsidRPr="00DA7D89">
        <w:rPr>
          <w:rFonts w:ascii="Times New Roman" w:hAnsi="Times New Roman" w:cs="Times New Roman"/>
          <w:sz w:val="24"/>
          <w:szCs w:val="24"/>
        </w:rPr>
        <w:t xml:space="preserve">On the other hand, </w:t>
      </w:r>
      <w:r w:rsidR="00E2769C" w:rsidRPr="00DA7D89">
        <w:rPr>
          <w:rFonts w:ascii="Times New Roman" w:hAnsi="Times New Roman" w:cs="Times New Roman"/>
          <w:sz w:val="24"/>
          <w:szCs w:val="24"/>
        </w:rPr>
        <w:t xml:space="preserve">Scylace will generate high profits of </w:t>
      </w:r>
      <w:r w:rsidR="00D243C7" w:rsidRPr="00DA7D89">
        <w:rPr>
          <w:rFonts w:ascii="Times New Roman" w:hAnsi="Times New Roman" w:cs="Times New Roman"/>
          <w:sz w:val="24"/>
          <w:szCs w:val="24"/>
        </w:rPr>
        <w:t>£</w:t>
      </w:r>
      <w:r w:rsidR="00E2769C" w:rsidRPr="00DA7D89">
        <w:rPr>
          <w:rFonts w:ascii="Times New Roman" w:hAnsi="Times New Roman" w:cs="Times New Roman"/>
          <w:sz w:val="24"/>
          <w:szCs w:val="24"/>
        </w:rPr>
        <w:t>10</w:t>
      </w:r>
      <w:r w:rsidR="0043682E" w:rsidRPr="00DA7D89">
        <w:rPr>
          <w:rFonts w:ascii="Times New Roman" w:hAnsi="Times New Roman" w:cs="Times New Roman"/>
          <w:sz w:val="24"/>
          <w:szCs w:val="24"/>
        </w:rPr>
        <w:t xml:space="preserve"> </w:t>
      </w:r>
      <w:r w:rsidR="00E2769C" w:rsidRPr="00DA7D89">
        <w:rPr>
          <w:rFonts w:ascii="Times New Roman" w:hAnsi="Times New Roman" w:cs="Times New Roman"/>
          <w:sz w:val="24"/>
          <w:szCs w:val="24"/>
        </w:rPr>
        <w:t xml:space="preserve">million and </w:t>
      </w:r>
      <w:r w:rsidR="0043682E" w:rsidRPr="00DA7D89">
        <w:rPr>
          <w:rFonts w:ascii="Times New Roman" w:hAnsi="Times New Roman" w:cs="Times New Roman"/>
          <w:sz w:val="24"/>
          <w:szCs w:val="24"/>
        </w:rPr>
        <w:t xml:space="preserve">above through the takeover of Helibeb, a profitable clothing retail store. </w:t>
      </w:r>
      <w:r w:rsidR="00D243C7" w:rsidRPr="00DA7D89">
        <w:rPr>
          <w:rFonts w:ascii="Times New Roman" w:hAnsi="Times New Roman" w:cs="Times New Roman"/>
          <w:sz w:val="24"/>
          <w:szCs w:val="24"/>
        </w:rPr>
        <w:t>The profits at Helibeb increased from £10 million to £11</w:t>
      </w:r>
      <w:r w:rsidR="009C22CB" w:rsidRPr="00DA7D89">
        <w:rPr>
          <w:rFonts w:ascii="Times New Roman" w:hAnsi="Times New Roman" w:cs="Times New Roman"/>
          <w:sz w:val="24"/>
          <w:szCs w:val="24"/>
        </w:rPr>
        <w:t xml:space="preserve"> million, an indication that future projections are likely to increase.</w:t>
      </w:r>
      <w:r w:rsidR="008B5666" w:rsidRPr="00DA7D89">
        <w:rPr>
          <w:rFonts w:ascii="Times New Roman" w:hAnsi="Times New Roman" w:cs="Times New Roman"/>
          <w:sz w:val="24"/>
          <w:szCs w:val="24"/>
        </w:rPr>
        <w:t xml:space="preserve"> The only alarming factor in the takeover bid is the</w:t>
      </w:r>
      <w:r w:rsidR="00AD4B06" w:rsidRPr="00DA7D89">
        <w:rPr>
          <w:rFonts w:ascii="Times New Roman" w:hAnsi="Times New Roman" w:cs="Times New Roman"/>
          <w:sz w:val="24"/>
          <w:szCs w:val="24"/>
        </w:rPr>
        <w:t xml:space="preserve"> turnover capital employed </w:t>
      </w:r>
      <w:r w:rsidR="00A132CD" w:rsidRPr="00DA7D89">
        <w:rPr>
          <w:rFonts w:ascii="Times New Roman" w:hAnsi="Times New Roman" w:cs="Times New Roman"/>
          <w:sz w:val="24"/>
          <w:szCs w:val="24"/>
        </w:rPr>
        <w:t xml:space="preserve">which has been declining through 2017-2018. Therefore, it is recommendable that the firm should strategize more compelling measures that would ensure the efficient use of capital to generate revenue. </w:t>
      </w:r>
      <w:r w:rsidR="000E169C" w:rsidRPr="00DA7D89">
        <w:rPr>
          <w:rFonts w:ascii="Times New Roman" w:hAnsi="Times New Roman" w:cs="Times New Roman"/>
          <w:sz w:val="24"/>
          <w:szCs w:val="24"/>
        </w:rPr>
        <w:br w:type="page"/>
      </w:r>
    </w:p>
    <w:p w:rsidR="00C2087D" w:rsidRPr="00DA7D89" w:rsidRDefault="000E169C" w:rsidP="00BF7203">
      <w:pPr>
        <w:spacing w:after="0" w:line="480" w:lineRule="auto"/>
        <w:contextualSpacing/>
        <w:jc w:val="center"/>
        <w:rPr>
          <w:rFonts w:ascii="Times New Roman" w:hAnsi="Times New Roman" w:cs="Times New Roman"/>
          <w:sz w:val="24"/>
          <w:szCs w:val="24"/>
        </w:rPr>
      </w:pPr>
      <w:r w:rsidRPr="00DA7D89">
        <w:rPr>
          <w:rFonts w:ascii="Times New Roman" w:hAnsi="Times New Roman" w:cs="Times New Roman"/>
          <w:sz w:val="24"/>
          <w:szCs w:val="24"/>
        </w:rPr>
        <w:t>Reference</w:t>
      </w:r>
      <w:r w:rsidR="00C128EB" w:rsidRPr="00DA7D89">
        <w:rPr>
          <w:rFonts w:ascii="Times New Roman" w:hAnsi="Times New Roman" w:cs="Times New Roman"/>
          <w:sz w:val="24"/>
          <w:szCs w:val="24"/>
        </w:rPr>
        <w:t>s</w:t>
      </w:r>
    </w:p>
    <w:p w:rsidR="00C128EB" w:rsidRPr="00DA7D89" w:rsidRDefault="00C128EB" w:rsidP="00BF7203">
      <w:pPr>
        <w:spacing w:after="0" w:line="480" w:lineRule="auto"/>
        <w:ind w:left="720" w:hanging="720"/>
        <w:contextualSpacing/>
        <w:rPr>
          <w:rFonts w:ascii="Times New Roman" w:hAnsi="Times New Roman" w:cs="Times New Roman"/>
          <w:sz w:val="24"/>
          <w:szCs w:val="24"/>
        </w:rPr>
      </w:pPr>
      <w:r w:rsidRPr="00DA7D89">
        <w:rPr>
          <w:rFonts w:ascii="Times New Roman" w:hAnsi="Times New Roman" w:cs="Times New Roman"/>
          <w:sz w:val="24"/>
          <w:szCs w:val="24"/>
        </w:rPr>
        <w:t>Peng, M. W. (2014). Global business. Mason, OH: South-Western / Cengage Learning.</w:t>
      </w:r>
    </w:p>
    <w:p w:rsidR="00C128EB" w:rsidRPr="00DA7D89" w:rsidRDefault="00C128EB" w:rsidP="00BF7203">
      <w:pPr>
        <w:spacing w:after="0" w:line="480" w:lineRule="auto"/>
        <w:ind w:left="720" w:hanging="720"/>
        <w:contextualSpacing/>
        <w:rPr>
          <w:rFonts w:ascii="Times New Roman" w:hAnsi="Times New Roman" w:cs="Times New Roman"/>
          <w:sz w:val="24"/>
          <w:szCs w:val="24"/>
        </w:rPr>
      </w:pPr>
      <w:r w:rsidRPr="00DA7D89">
        <w:rPr>
          <w:rFonts w:ascii="Times New Roman" w:hAnsi="Times New Roman" w:cs="Times New Roman"/>
          <w:sz w:val="24"/>
          <w:szCs w:val="24"/>
        </w:rPr>
        <w:t>Picot-Coupey, K., Burt, S., &amp; Cliquet, G. (2014).Retailers ex</w:t>
      </w:r>
      <w:r w:rsidR="00BF7203">
        <w:rPr>
          <w:rFonts w:ascii="Times New Roman" w:hAnsi="Times New Roman" w:cs="Times New Roman"/>
          <w:sz w:val="24"/>
          <w:szCs w:val="24"/>
        </w:rPr>
        <w:t xml:space="preserve">pansion mode choice in foreign </w:t>
      </w:r>
      <w:r w:rsidRPr="00DA7D89">
        <w:rPr>
          <w:rFonts w:ascii="Times New Roman" w:hAnsi="Times New Roman" w:cs="Times New Roman"/>
          <w:sz w:val="24"/>
          <w:szCs w:val="24"/>
        </w:rPr>
        <w:t>markets: Antecedents for expansion mode choice in the</w:t>
      </w:r>
      <w:r w:rsidR="00BF7203">
        <w:rPr>
          <w:rFonts w:ascii="Times New Roman" w:hAnsi="Times New Roman" w:cs="Times New Roman"/>
          <w:sz w:val="24"/>
          <w:szCs w:val="24"/>
        </w:rPr>
        <w:t xml:space="preserve"> light of internationalization </w:t>
      </w:r>
      <w:bookmarkStart w:id="1" w:name="_GoBack"/>
      <w:bookmarkEnd w:id="1"/>
      <w:r w:rsidRPr="00DA7D89">
        <w:rPr>
          <w:rFonts w:ascii="Times New Roman" w:hAnsi="Times New Roman" w:cs="Times New Roman"/>
          <w:sz w:val="24"/>
          <w:szCs w:val="24"/>
        </w:rPr>
        <w:t xml:space="preserve">theories. </w:t>
      </w:r>
      <w:r w:rsidRPr="00DA7D89">
        <w:rPr>
          <w:rFonts w:ascii="Times New Roman" w:hAnsi="Times New Roman" w:cs="Times New Roman"/>
          <w:i/>
          <w:sz w:val="24"/>
          <w:szCs w:val="24"/>
        </w:rPr>
        <w:t xml:space="preserve">Journal of Consumer Services, </w:t>
      </w:r>
      <w:r w:rsidRPr="00DA7D89">
        <w:rPr>
          <w:rFonts w:ascii="Times New Roman" w:hAnsi="Times New Roman" w:cs="Times New Roman"/>
          <w:sz w:val="24"/>
          <w:szCs w:val="24"/>
        </w:rPr>
        <w:t>21(6), 976-991.</w:t>
      </w:r>
    </w:p>
    <w:p w:rsidR="00C128EB" w:rsidRPr="00DA7D89" w:rsidRDefault="00C128EB" w:rsidP="00BF7203">
      <w:pPr>
        <w:spacing w:after="0" w:line="480" w:lineRule="auto"/>
        <w:ind w:left="720" w:hanging="720"/>
        <w:contextualSpacing/>
        <w:rPr>
          <w:rFonts w:ascii="Times New Roman" w:hAnsi="Times New Roman" w:cs="Times New Roman"/>
          <w:sz w:val="24"/>
          <w:szCs w:val="24"/>
        </w:rPr>
      </w:pPr>
      <w:r w:rsidRPr="00DA7D89">
        <w:rPr>
          <w:rFonts w:ascii="Times New Roman" w:hAnsi="Times New Roman" w:cs="Times New Roman"/>
          <w:sz w:val="24"/>
          <w:szCs w:val="24"/>
        </w:rPr>
        <w:t>Schwerdt, W. (2010). Pricing, Risk, and Performance Measurement in Practice. UK: Elsevier.</w:t>
      </w:r>
    </w:p>
    <w:p w:rsidR="00C128EB" w:rsidRPr="00DA7D89" w:rsidRDefault="00C128EB" w:rsidP="00DA7D89">
      <w:pPr>
        <w:spacing w:line="480" w:lineRule="auto"/>
        <w:rPr>
          <w:rFonts w:ascii="Times New Roman" w:hAnsi="Times New Roman" w:cs="Times New Roman"/>
          <w:sz w:val="24"/>
          <w:szCs w:val="24"/>
        </w:rPr>
      </w:pPr>
    </w:p>
    <w:p w:rsidR="00C128EB" w:rsidRPr="00DA7D89" w:rsidRDefault="00C128EB" w:rsidP="00DA7D89">
      <w:pPr>
        <w:spacing w:line="480" w:lineRule="auto"/>
        <w:rPr>
          <w:rFonts w:ascii="Times New Roman" w:hAnsi="Times New Roman" w:cs="Times New Roman"/>
          <w:sz w:val="24"/>
          <w:szCs w:val="24"/>
        </w:rPr>
      </w:pPr>
    </w:p>
    <w:sectPr w:rsidR="00C128EB" w:rsidRPr="00DA7D89" w:rsidSect="00D8564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0264" w:rsidRDefault="008D0264" w:rsidP="001D36C7">
      <w:pPr>
        <w:spacing w:after="0" w:line="240" w:lineRule="auto"/>
      </w:pPr>
      <w:r>
        <w:separator/>
      </w:r>
    </w:p>
  </w:endnote>
  <w:endnote w:type="continuationSeparator" w:id="0">
    <w:p w:rsidR="008D0264" w:rsidRDefault="008D0264" w:rsidP="001D3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0264" w:rsidRDefault="008D0264" w:rsidP="001D36C7">
      <w:pPr>
        <w:spacing w:after="0" w:line="240" w:lineRule="auto"/>
      </w:pPr>
      <w:r>
        <w:separator/>
      </w:r>
    </w:p>
  </w:footnote>
  <w:footnote w:type="continuationSeparator" w:id="0">
    <w:p w:rsidR="008D0264" w:rsidRDefault="008D0264" w:rsidP="001D36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6C7" w:rsidRPr="00D85647" w:rsidRDefault="00D85647" w:rsidP="00D85647">
    <w:pPr>
      <w:pStyle w:val="Header"/>
      <w:jc w:val="right"/>
      <w:rPr>
        <w:rFonts w:ascii="Times New Roman" w:hAnsi="Times New Roman" w:cs="Times New Roman"/>
        <w:sz w:val="24"/>
        <w:szCs w:val="24"/>
      </w:rPr>
    </w:pPr>
    <w:r>
      <w:rPr>
        <w:rFonts w:ascii="Times New Roman" w:hAnsi="Times New Roman" w:cs="Times New Roman"/>
        <w:sz w:val="24"/>
        <w:szCs w:val="24"/>
      </w:rPr>
      <w:t>P</w:t>
    </w:r>
    <w:r w:rsidR="001D36C7" w:rsidRPr="00D85647">
      <w:rPr>
        <w:rFonts w:ascii="Times New Roman" w:hAnsi="Times New Roman" w:cs="Times New Roman"/>
        <w:sz w:val="24"/>
        <w:szCs w:val="24"/>
      </w:rPr>
      <w:t>ROJECT DECISION MAKING</w:t>
    </w:r>
    <w:r w:rsidR="001D36C7" w:rsidRPr="00D85647">
      <w:rPr>
        <w:rFonts w:ascii="Times New Roman" w:hAnsi="Times New Roman" w:cs="Times New Roman"/>
        <w:sz w:val="24"/>
        <w:szCs w:val="24"/>
      </w:rPr>
      <w:tab/>
    </w:r>
    <w:r w:rsidR="001D36C7" w:rsidRPr="00D85647">
      <w:rPr>
        <w:rFonts w:ascii="Times New Roman" w:hAnsi="Times New Roman" w:cs="Times New Roman"/>
        <w:sz w:val="24"/>
        <w:szCs w:val="24"/>
      </w:rPr>
      <w:tab/>
    </w:r>
    <w:sdt>
      <w:sdtPr>
        <w:rPr>
          <w:rFonts w:ascii="Times New Roman" w:hAnsi="Times New Roman" w:cs="Times New Roman"/>
          <w:sz w:val="24"/>
          <w:szCs w:val="24"/>
        </w:rPr>
        <w:id w:val="1719395493"/>
        <w:docPartObj>
          <w:docPartGallery w:val="Page Numbers (Top of Page)"/>
          <w:docPartUnique/>
        </w:docPartObj>
      </w:sdtPr>
      <w:sdtEndPr>
        <w:rPr>
          <w:noProof/>
        </w:rPr>
      </w:sdtEndPr>
      <w:sdtContent>
        <w:r w:rsidR="001D36C7" w:rsidRPr="00D85647">
          <w:rPr>
            <w:rFonts w:ascii="Times New Roman" w:hAnsi="Times New Roman" w:cs="Times New Roman"/>
            <w:sz w:val="24"/>
            <w:szCs w:val="24"/>
          </w:rPr>
          <w:fldChar w:fldCharType="begin"/>
        </w:r>
        <w:r w:rsidR="001D36C7" w:rsidRPr="00D85647">
          <w:rPr>
            <w:rFonts w:ascii="Times New Roman" w:hAnsi="Times New Roman" w:cs="Times New Roman"/>
            <w:sz w:val="24"/>
            <w:szCs w:val="24"/>
          </w:rPr>
          <w:instrText xml:space="preserve"> PAGE   \* MERGEFORMAT </w:instrText>
        </w:r>
        <w:r w:rsidR="001D36C7" w:rsidRPr="00D85647">
          <w:rPr>
            <w:rFonts w:ascii="Times New Roman" w:hAnsi="Times New Roman" w:cs="Times New Roman"/>
            <w:sz w:val="24"/>
            <w:szCs w:val="24"/>
          </w:rPr>
          <w:fldChar w:fldCharType="separate"/>
        </w:r>
        <w:r w:rsidR="00BF7203">
          <w:rPr>
            <w:rFonts w:ascii="Times New Roman" w:hAnsi="Times New Roman" w:cs="Times New Roman"/>
            <w:noProof/>
            <w:sz w:val="24"/>
            <w:szCs w:val="24"/>
          </w:rPr>
          <w:t>10</w:t>
        </w:r>
        <w:r w:rsidR="001D36C7" w:rsidRPr="00D85647">
          <w:rPr>
            <w:rFonts w:ascii="Times New Roman" w:hAnsi="Times New Roman" w:cs="Times New Roman"/>
            <w:noProof/>
            <w:sz w:val="24"/>
            <w:szCs w:val="24"/>
          </w:rPr>
          <w:fldChar w:fldCharType="end"/>
        </w:r>
      </w:sdtContent>
    </w:sdt>
  </w:p>
  <w:p w:rsidR="001D36C7" w:rsidRPr="00D85647" w:rsidRDefault="001D36C7" w:rsidP="00D8564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647" w:rsidRPr="00D85647" w:rsidRDefault="00D85647" w:rsidP="00D85647">
    <w:pPr>
      <w:pStyle w:val="Header"/>
      <w:jc w:val="right"/>
      <w:rPr>
        <w:rFonts w:ascii="Times New Roman" w:hAnsi="Times New Roman" w:cs="Times New Roman"/>
        <w:sz w:val="24"/>
        <w:szCs w:val="24"/>
      </w:rPr>
    </w:pPr>
    <w:r w:rsidRPr="00D85647">
      <w:rPr>
        <w:rFonts w:ascii="Times New Roman" w:hAnsi="Times New Roman" w:cs="Times New Roman"/>
        <w:sz w:val="24"/>
        <w:szCs w:val="24"/>
      </w:rPr>
      <w:t>Running head:</w:t>
    </w:r>
    <w:r>
      <w:rPr>
        <w:rFonts w:ascii="Times New Roman" w:hAnsi="Times New Roman" w:cs="Times New Roman"/>
        <w:sz w:val="24"/>
        <w:szCs w:val="24"/>
      </w:rPr>
      <w:t xml:space="preserve"> </w:t>
    </w:r>
    <w:r w:rsidRPr="00D85647">
      <w:rPr>
        <w:rFonts w:ascii="Times New Roman" w:hAnsi="Times New Roman" w:cs="Times New Roman"/>
        <w:sz w:val="24"/>
        <w:szCs w:val="24"/>
      </w:rPr>
      <w:t>PROJECT DECISION MAKING</w:t>
    </w:r>
    <w:r w:rsidRPr="00D85647">
      <w:rPr>
        <w:rFonts w:ascii="Times New Roman" w:hAnsi="Times New Roman" w:cs="Times New Roman"/>
        <w:sz w:val="24"/>
        <w:szCs w:val="24"/>
      </w:rPr>
      <w:tab/>
    </w:r>
    <w:sdt>
      <w:sdtPr>
        <w:rPr>
          <w:rFonts w:ascii="Times New Roman" w:hAnsi="Times New Roman" w:cs="Times New Roman"/>
          <w:sz w:val="24"/>
          <w:szCs w:val="24"/>
        </w:rPr>
        <w:id w:val="534694233"/>
        <w:docPartObj>
          <w:docPartGallery w:val="Page Numbers (Top of Page)"/>
          <w:docPartUnique/>
        </w:docPartObj>
      </w:sdtPr>
      <w:sdtEndPr>
        <w:rPr>
          <w:noProof/>
        </w:rPr>
      </w:sdtEndPr>
      <w:sdtContent>
        <w:r w:rsidRPr="00D85647">
          <w:rPr>
            <w:rFonts w:ascii="Times New Roman" w:hAnsi="Times New Roman" w:cs="Times New Roman"/>
            <w:sz w:val="24"/>
            <w:szCs w:val="24"/>
          </w:rPr>
          <w:fldChar w:fldCharType="begin"/>
        </w:r>
        <w:r w:rsidRPr="00D85647">
          <w:rPr>
            <w:rFonts w:ascii="Times New Roman" w:hAnsi="Times New Roman" w:cs="Times New Roman"/>
            <w:sz w:val="24"/>
            <w:szCs w:val="24"/>
          </w:rPr>
          <w:instrText xml:space="preserve"> PAGE   \* MERGEFORMAT </w:instrText>
        </w:r>
        <w:r w:rsidRPr="00D85647">
          <w:rPr>
            <w:rFonts w:ascii="Times New Roman" w:hAnsi="Times New Roman" w:cs="Times New Roman"/>
            <w:sz w:val="24"/>
            <w:szCs w:val="24"/>
          </w:rPr>
          <w:fldChar w:fldCharType="separate"/>
        </w:r>
        <w:r w:rsidR="008D0264">
          <w:rPr>
            <w:rFonts w:ascii="Times New Roman" w:hAnsi="Times New Roman" w:cs="Times New Roman"/>
            <w:noProof/>
            <w:sz w:val="24"/>
            <w:szCs w:val="24"/>
          </w:rPr>
          <w:t>1</w:t>
        </w:r>
        <w:r w:rsidRPr="00D85647">
          <w:rPr>
            <w:rFonts w:ascii="Times New Roman" w:hAnsi="Times New Roman" w:cs="Times New Roman"/>
            <w:noProof/>
            <w:sz w:val="24"/>
            <w:szCs w:val="24"/>
          </w:rPr>
          <w:fldChar w:fldCharType="end"/>
        </w:r>
      </w:sdtContent>
    </w:sdt>
  </w:p>
  <w:p w:rsidR="001D36C7" w:rsidRDefault="001D36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680"/>
    <w:rsid w:val="000061C2"/>
    <w:rsid w:val="00020B75"/>
    <w:rsid w:val="00030321"/>
    <w:rsid w:val="00051B6C"/>
    <w:rsid w:val="00085C44"/>
    <w:rsid w:val="00091DAF"/>
    <w:rsid w:val="000B1486"/>
    <w:rsid w:val="000D1B49"/>
    <w:rsid w:val="000E0DF0"/>
    <w:rsid w:val="000E169C"/>
    <w:rsid w:val="000F46CE"/>
    <w:rsid w:val="00104E1D"/>
    <w:rsid w:val="00117ABD"/>
    <w:rsid w:val="0013141C"/>
    <w:rsid w:val="001428C1"/>
    <w:rsid w:val="0015041E"/>
    <w:rsid w:val="001617B0"/>
    <w:rsid w:val="00185327"/>
    <w:rsid w:val="00186FAB"/>
    <w:rsid w:val="001918D9"/>
    <w:rsid w:val="0019373F"/>
    <w:rsid w:val="00195DA5"/>
    <w:rsid w:val="00195DFE"/>
    <w:rsid w:val="001A0A15"/>
    <w:rsid w:val="001C4BAD"/>
    <w:rsid w:val="001D36C7"/>
    <w:rsid w:val="001E2EDE"/>
    <w:rsid w:val="00227495"/>
    <w:rsid w:val="00290569"/>
    <w:rsid w:val="00292060"/>
    <w:rsid w:val="002B4B0A"/>
    <w:rsid w:val="002C3B8D"/>
    <w:rsid w:val="002E2AE2"/>
    <w:rsid w:val="0033309E"/>
    <w:rsid w:val="00334D84"/>
    <w:rsid w:val="00382F71"/>
    <w:rsid w:val="00396DB4"/>
    <w:rsid w:val="003A7495"/>
    <w:rsid w:val="003B1751"/>
    <w:rsid w:val="003C312D"/>
    <w:rsid w:val="003D406E"/>
    <w:rsid w:val="003E3A23"/>
    <w:rsid w:val="003F5DBB"/>
    <w:rsid w:val="0040348F"/>
    <w:rsid w:val="0043682E"/>
    <w:rsid w:val="00446806"/>
    <w:rsid w:val="004557F7"/>
    <w:rsid w:val="00461643"/>
    <w:rsid w:val="00461C16"/>
    <w:rsid w:val="0046596C"/>
    <w:rsid w:val="00484FCF"/>
    <w:rsid w:val="004942FF"/>
    <w:rsid w:val="004A12D5"/>
    <w:rsid w:val="004E6DF7"/>
    <w:rsid w:val="004F69A5"/>
    <w:rsid w:val="00524643"/>
    <w:rsid w:val="00536A8E"/>
    <w:rsid w:val="00570DB4"/>
    <w:rsid w:val="00574739"/>
    <w:rsid w:val="005764B8"/>
    <w:rsid w:val="00580EFA"/>
    <w:rsid w:val="00584455"/>
    <w:rsid w:val="00585C10"/>
    <w:rsid w:val="005A7D98"/>
    <w:rsid w:val="005A7FB7"/>
    <w:rsid w:val="005C3F51"/>
    <w:rsid w:val="005C67C6"/>
    <w:rsid w:val="005D6BCF"/>
    <w:rsid w:val="006325AB"/>
    <w:rsid w:val="0063389D"/>
    <w:rsid w:val="006447D0"/>
    <w:rsid w:val="006479DE"/>
    <w:rsid w:val="00665DDA"/>
    <w:rsid w:val="00685D8F"/>
    <w:rsid w:val="006F145A"/>
    <w:rsid w:val="00754B2F"/>
    <w:rsid w:val="00755CCD"/>
    <w:rsid w:val="007A2457"/>
    <w:rsid w:val="007B3A1F"/>
    <w:rsid w:val="007B4E22"/>
    <w:rsid w:val="007C03EC"/>
    <w:rsid w:val="0080724E"/>
    <w:rsid w:val="00843691"/>
    <w:rsid w:val="00861B2E"/>
    <w:rsid w:val="00864BED"/>
    <w:rsid w:val="00870630"/>
    <w:rsid w:val="0087791E"/>
    <w:rsid w:val="00891923"/>
    <w:rsid w:val="00893148"/>
    <w:rsid w:val="008A0665"/>
    <w:rsid w:val="008A5E80"/>
    <w:rsid w:val="008B2C4A"/>
    <w:rsid w:val="008B5666"/>
    <w:rsid w:val="008C3712"/>
    <w:rsid w:val="008D0264"/>
    <w:rsid w:val="009038ED"/>
    <w:rsid w:val="00911045"/>
    <w:rsid w:val="00921C46"/>
    <w:rsid w:val="009220CA"/>
    <w:rsid w:val="009238A7"/>
    <w:rsid w:val="00933CB5"/>
    <w:rsid w:val="00945321"/>
    <w:rsid w:val="009613FE"/>
    <w:rsid w:val="00961F6C"/>
    <w:rsid w:val="009C22CB"/>
    <w:rsid w:val="00A0267E"/>
    <w:rsid w:val="00A07429"/>
    <w:rsid w:val="00A132CD"/>
    <w:rsid w:val="00A40C93"/>
    <w:rsid w:val="00A42708"/>
    <w:rsid w:val="00A43329"/>
    <w:rsid w:val="00A64EC3"/>
    <w:rsid w:val="00A70348"/>
    <w:rsid w:val="00A710D6"/>
    <w:rsid w:val="00AA7616"/>
    <w:rsid w:val="00AC6782"/>
    <w:rsid w:val="00AD4B06"/>
    <w:rsid w:val="00AE4343"/>
    <w:rsid w:val="00AF710E"/>
    <w:rsid w:val="00B0059C"/>
    <w:rsid w:val="00B309DE"/>
    <w:rsid w:val="00B37649"/>
    <w:rsid w:val="00B412FA"/>
    <w:rsid w:val="00B549FF"/>
    <w:rsid w:val="00B6019C"/>
    <w:rsid w:val="00B632FC"/>
    <w:rsid w:val="00B81020"/>
    <w:rsid w:val="00BD7749"/>
    <w:rsid w:val="00BE3954"/>
    <w:rsid w:val="00BE5443"/>
    <w:rsid w:val="00BF7203"/>
    <w:rsid w:val="00C03549"/>
    <w:rsid w:val="00C128EB"/>
    <w:rsid w:val="00C12997"/>
    <w:rsid w:val="00C2087D"/>
    <w:rsid w:val="00C63075"/>
    <w:rsid w:val="00C6432E"/>
    <w:rsid w:val="00C67D9C"/>
    <w:rsid w:val="00CA10B2"/>
    <w:rsid w:val="00CE584A"/>
    <w:rsid w:val="00CF1379"/>
    <w:rsid w:val="00D12688"/>
    <w:rsid w:val="00D2271C"/>
    <w:rsid w:val="00D243C7"/>
    <w:rsid w:val="00D41DA0"/>
    <w:rsid w:val="00D67E8D"/>
    <w:rsid w:val="00D726C1"/>
    <w:rsid w:val="00D85647"/>
    <w:rsid w:val="00D858D9"/>
    <w:rsid w:val="00D862B4"/>
    <w:rsid w:val="00D90ABC"/>
    <w:rsid w:val="00DA7D89"/>
    <w:rsid w:val="00DB217C"/>
    <w:rsid w:val="00DC11A8"/>
    <w:rsid w:val="00DD32AA"/>
    <w:rsid w:val="00E007FD"/>
    <w:rsid w:val="00E02ABF"/>
    <w:rsid w:val="00E05680"/>
    <w:rsid w:val="00E102DC"/>
    <w:rsid w:val="00E13AD8"/>
    <w:rsid w:val="00E2769C"/>
    <w:rsid w:val="00E3156F"/>
    <w:rsid w:val="00E6173C"/>
    <w:rsid w:val="00E75673"/>
    <w:rsid w:val="00E910B8"/>
    <w:rsid w:val="00EB0AFF"/>
    <w:rsid w:val="00F23C93"/>
    <w:rsid w:val="00F3479D"/>
    <w:rsid w:val="00F845AC"/>
    <w:rsid w:val="00FB7DE9"/>
    <w:rsid w:val="00FD26B9"/>
    <w:rsid w:val="00FE1274"/>
    <w:rsid w:val="00FE6CBF"/>
    <w:rsid w:val="00FE6FEE"/>
    <w:rsid w:val="00FF1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6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6C7"/>
  </w:style>
  <w:style w:type="paragraph" w:styleId="Footer">
    <w:name w:val="footer"/>
    <w:basedOn w:val="Normal"/>
    <w:link w:val="FooterChar"/>
    <w:uiPriority w:val="99"/>
    <w:unhideWhenUsed/>
    <w:rsid w:val="001D36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6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6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6C7"/>
  </w:style>
  <w:style w:type="paragraph" w:styleId="Footer">
    <w:name w:val="footer"/>
    <w:basedOn w:val="Normal"/>
    <w:link w:val="FooterChar"/>
    <w:uiPriority w:val="99"/>
    <w:unhideWhenUsed/>
    <w:rsid w:val="001D36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6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1.xlsx"/><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2433</Words>
  <Characters>13872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2019-08-23T01:50:00Z</dcterms:created>
  <dcterms:modified xsi:type="dcterms:W3CDTF">2019-08-23T01:50:00Z</dcterms:modified>
</cp:coreProperties>
</file>