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320" w:rsidRDefault="00C04320" w:rsidP="00C04320">
      <w:pPr>
        <w:spacing w:after="0" w:line="480" w:lineRule="auto"/>
        <w:jc w:val="center"/>
        <w:rPr>
          <w:rFonts w:ascii="Times New Roman" w:hAnsi="Times New Roman" w:cs="Times New Roman"/>
          <w:sz w:val="24"/>
          <w:szCs w:val="24"/>
        </w:rPr>
      </w:pPr>
      <w:bookmarkStart w:id="0" w:name="_GoBack"/>
      <w:bookmarkEnd w:id="0"/>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Pr="00C04320" w:rsidRDefault="00C04320" w:rsidP="00C04320">
      <w:pPr>
        <w:spacing w:after="0" w:line="480" w:lineRule="auto"/>
        <w:jc w:val="center"/>
        <w:rPr>
          <w:rFonts w:ascii="Times New Roman" w:hAnsi="Times New Roman" w:cs="Times New Roman"/>
          <w:sz w:val="24"/>
          <w:szCs w:val="24"/>
        </w:rPr>
      </w:pPr>
      <w:r w:rsidRPr="00C04320">
        <w:rPr>
          <w:rFonts w:ascii="Times New Roman" w:hAnsi="Times New Roman" w:cs="Times New Roman"/>
          <w:sz w:val="24"/>
          <w:szCs w:val="24"/>
        </w:rPr>
        <w:t>Iron Deficiency Anaemia</w:t>
      </w:r>
    </w:p>
    <w:p w:rsidR="00C04320" w:rsidRPr="00C04320" w:rsidRDefault="00C04320" w:rsidP="00C04320">
      <w:pPr>
        <w:spacing w:after="0" w:line="480" w:lineRule="auto"/>
        <w:jc w:val="center"/>
        <w:rPr>
          <w:rFonts w:ascii="Times New Roman" w:hAnsi="Times New Roman" w:cs="Times New Roman"/>
          <w:sz w:val="24"/>
          <w:szCs w:val="24"/>
        </w:rPr>
      </w:pPr>
      <w:r w:rsidRPr="00C04320">
        <w:rPr>
          <w:rFonts w:ascii="Times New Roman" w:hAnsi="Times New Roman" w:cs="Times New Roman"/>
          <w:sz w:val="24"/>
          <w:szCs w:val="24"/>
        </w:rPr>
        <w:t>Nam</w:t>
      </w:r>
      <w:r>
        <w:rPr>
          <w:rFonts w:ascii="Times New Roman" w:hAnsi="Times New Roman" w:cs="Times New Roman"/>
          <w:sz w:val="24"/>
          <w:szCs w:val="24"/>
        </w:rPr>
        <w:t>e</w:t>
      </w:r>
      <w:r w:rsidRPr="00C04320">
        <w:rPr>
          <w:rFonts w:ascii="Times New Roman" w:hAnsi="Times New Roman" w:cs="Times New Roman"/>
          <w:sz w:val="24"/>
          <w:szCs w:val="24"/>
        </w:rPr>
        <w:t xml:space="preserve"> of the Student</w:t>
      </w:r>
    </w:p>
    <w:p w:rsidR="00C04320" w:rsidRPr="00C04320" w:rsidRDefault="00C04320" w:rsidP="00C04320">
      <w:pPr>
        <w:spacing w:after="0" w:line="480" w:lineRule="auto"/>
        <w:jc w:val="center"/>
        <w:rPr>
          <w:rFonts w:ascii="Times New Roman" w:hAnsi="Times New Roman" w:cs="Times New Roman"/>
          <w:sz w:val="24"/>
          <w:szCs w:val="24"/>
        </w:rPr>
      </w:pPr>
      <w:r w:rsidRPr="00C04320">
        <w:rPr>
          <w:rFonts w:ascii="Times New Roman" w:hAnsi="Times New Roman" w:cs="Times New Roman"/>
          <w:sz w:val="24"/>
          <w:szCs w:val="24"/>
        </w:rPr>
        <w:t>Institutional Affiliation</w:t>
      </w:r>
    </w:p>
    <w:p w:rsidR="00C04320" w:rsidRPr="00C04320" w:rsidRDefault="00C04320" w:rsidP="00C04320">
      <w:pPr>
        <w:spacing w:after="0" w:line="480" w:lineRule="auto"/>
        <w:jc w:val="center"/>
        <w:rPr>
          <w:rFonts w:ascii="Times New Roman" w:hAnsi="Times New Roman" w:cs="Times New Roman"/>
          <w:sz w:val="24"/>
          <w:szCs w:val="24"/>
        </w:rPr>
      </w:pPr>
      <w:r w:rsidRPr="00C04320">
        <w:rPr>
          <w:rFonts w:ascii="Times New Roman" w:hAnsi="Times New Roman" w:cs="Times New Roman"/>
          <w:sz w:val="24"/>
          <w:szCs w:val="24"/>
        </w:rPr>
        <w:t>Course Title</w:t>
      </w:r>
    </w:p>
    <w:p w:rsidR="00C04320" w:rsidRDefault="00C04320" w:rsidP="00C04320">
      <w:pPr>
        <w:spacing w:after="0" w:line="480" w:lineRule="auto"/>
        <w:jc w:val="center"/>
        <w:rPr>
          <w:rFonts w:ascii="Times New Roman" w:hAnsi="Times New Roman" w:cs="Times New Roman"/>
          <w:sz w:val="24"/>
          <w:szCs w:val="24"/>
        </w:rPr>
      </w:pPr>
      <w:r w:rsidRPr="00C04320">
        <w:rPr>
          <w:rFonts w:ascii="Times New Roman" w:hAnsi="Times New Roman" w:cs="Times New Roman"/>
          <w:sz w:val="24"/>
          <w:szCs w:val="24"/>
        </w:rPr>
        <w:t>Instructor’s Name</w:t>
      </w: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Default="00C04320" w:rsidP="00C04320">
      <w:pPr>
        <w:spacing w:after="0" w:line="480" w:lineRule="auto"/>
        <w:jc w:val="center"/>
        <w:rPr>
          <w:rFonts w:ascii="Times New Roman" w:hAnsi="Times New Roman" w:cs="Times New Roman"/>
          <w:sz w:val="24"/>
          <w:szCs w:val="24"/>
        </w:rPr>
      </w:pPr>
    </w:p>
    <w:p w:rsidR="00C04320" w:rsidRPr="00C04320" w:rsidRDefault="00C04320" w:rsidP="00C04320">
      <w:pPr>
        <w:spacing w:after="0" w:line="480" w:lineRule="auto"/>
        <w:jc w:val="center"/>
        <w:rPr>
          <w:rFonts w:ascii="Times New Roman" w:hAnsi="Times New Roman" w:cs="Times New Roman"/>
          <w:sz w:val="24"/>
          <w:szCs w:val="24"/>
        </w:rPr>
      </w:pPr>
    </w:p>
    <w:p w:rsidR="00C04320" w:rsidRPr="00C04320" w:rsidRDefault="00C04320" w:rsidP="00C04320">
      <w:pPr>
        <w:spacing w:after="0" w:line="480" w:lineRule="auto"/>
        <w:rPr>
          <w:rFonts w:ascii="Times New Roman" w:hAnsi="Times New Roman" w:cs="Times New Roman"/>
          <w:b/>
          <w:sz w:val="24"/>
          <w:szCs w:val="24"/>
        </w:rPr>
      </w:pPr>
      <w:r w:rsidRPr="00C04320">
        <w:rPr>
          <w:rFonts w:ascii="Times New Roman" w:hAnsi="Times New Roman" w:cs="Times New Roman"/>
          <w:b/>
          <w:sz w:val="24"/>
          <w:szCs w:val="24"/>
        </w:rPr>
        <w:lastRenderedPageBreak/>
        <w:t>Abstract</w:t>
      </w:r>
    </w:p>
    <w:p w:rsidR="00C04320" w:rsidRPr="00C04320" w:rsidRDefault="00C04320" w:rsidP="00C04320">
      <w:pPr>
        <w:pStyle w:val="NormalWeb"/>
        <w:spacing w:before="0" w:beforeAutospacing="0" w:after="0" w:afterAutospacing="0" w:line="480" w:lineRule="auto"/>
        <w:ind w:firstLine="720"/>
        <w:rPr>
          <w:color w:val="0E101A"/>
        </w:rPr>
      </w:pPr>
      <w:r w:rsidRPr="00C04320">
        <w:rPr>
          <w:color w:val="0E101A"/>
        </w:rPr>
        <w:t>Anaemia affects one-fourth of the world’s population, and iron deficiency is the predominant cause. Anaemia is associated with chronic fatigue, impaired cognitive function, and diminished well-being. Patients with iron deficiency anaemia of unknown aetiology are frequently referred to a gastroenterologist because in the majority of cases, the condition has a gastrointestinal origin. Proper management improves the quality of life, alleviates the symptoms of iron deficiency, and reduces the need for blood transfusions. Treatment options include oral and intravenous iron therapy; however, the efficacy of oral iron is limited in certain gastrointestinal conditions, such as inflammatory bowel disease, celiac disease, and autoimmune gastritis. This article provides a critical summary of the diagnosis and treatment of iron deficiency anaemia. In addition, it includes a management algorithm that can help the clinician determine which patients are in need of further gastrointestinal evaluation. This facilitates the identification and treatment of the underlying condition and avoids the unnecessary use of invasive methods and their associated risks.</w:t>
      </w:r>
    </w:p>
    <w:p w:rsidR="00C04320" w:rsidRPr="00C04320" w:rsidRDefault="00C04320" w:rsidP="00C04320">
      <w:pPr>
        <w:pStyle w:val="NormalWeb"/>
        <w:spacing w:before="0" w:beforeAutospacing="0" w:after="0" w:afterAutospacing="0" w:line="480" w:lineRule="auto"/>
        <w:ind w:firstLine="720"/>
        <w:rPr>
          <w:color w:val="0E101A"/>
        </w:rPr>
      </w:pPr>
    </w:p>
    <w:p w:rsidR="00C04320" w:rsidRDefault="00C04320" w:rsidP="00C04320">
      <w:pPr>
        <w:pStyle w:val="NormalWeb"/>
        <w:spacing w:before="0" w:beforeAutospacing="0" w:after="0" w:afterAutospacing="0" w:line="480" w:lineRule="auto"/>
        <w:rPr>
          <w:color w:val="0E101A"/>
        </w:rPr>
      </w:pPr>
      <w:r w:rsidRPr="00C04320">
        <w:rPr>
          <w:rStyle w:val="Strong"/>
          <w:color w:val="0E101A"/>
        </w:rPr>
        <w:t>Keywords: </w:t>
      </w:r>
      <w:r w:rsidRPr="00C04320">
        <w:rPr>
          <w:color w:val="0E101A"/>
        </w:rPr>
        <w:t>Anemia of chronic disease, intravenous iron, iron deficiency anaemia, iron replacement therapy, oral iron, hemoglobin</w:t>
      </w:r>
      <w:r>
        <w:rPr>
          <w:color w:val="0E101A"/>
        </w:rPr>
        <w:t>.</w:t>
      </w:r>
    </w:p>
    <w:p w:rsidR="00C04320" w:rsidRDefault="00C04320" w:rsidP="00C04320">
      <w:pPr>
        <w:pStyle w:val="NormalWeb"/>
        <w:spacing w:before="0" w:beforeAutospacing="0" w:after="0" w:afterAutospacing="0" w:line="480" w:lineRule="auto"/>
        <w:rPr>
          <w:color w:val="0E101A"/>
        </w:rPr>
      </w:pPr>
    </w:p>
    <w:p w:rsidR="00C04320" w:rsidRDefault="00C04320" w:rsidP="00C04320">
      <w:pPr>
        <w:pStyle w:val="NormalWeb"/>
        <w:spacing w:before="0" w:beforeAutospacing="0" w:after="0" w:afterAutospacing="0" w:line="480" w:lineRule="auto"/>
        <w:rPr>
          <w:color w:val="0E101A"/>
        </w:rPr>
      </w:pPr>
    </w:p>
    <w:p w:rsidR="00C04320" w:rsidRDefault="00C04320" w:rsidP="00C04320">
      <w:pPr>
        <w:pStyle w:val="NormalWeb"/>
        <w:spacing w:before="0" w:beforeAutospacing="0" w:after="0" w:afterAutospacing="0" w:line="480" w:lineRule="auto"/>
        <w:rPr>
          <w:color w:val="0E101A"/>
        </w:rPr>
      </w:pPr>
    </w:p>
    <w:p w:rsidR="00C04320" w:rsidRDefault="00C04320" w:rsidP="00C04320">
      <w:pPr>
        <w:pStyle w:val="NormalWeb"/>
        <w:spacing w:before="0" w:beforeAutospacing="0" w:after="0" w:afterAutospacing="0" w:line="480" w:lineRule="auto"/>
        <w:rPr>
          <w:color w:val="0E101A"/>
        </w:rPr>
      </w:pPr>
    </w:p>
    <w:p w:rsidR="00C04320" w:rsidRPr="00C04320" w:rsidRDefault="00C04320" w:rsidP="00C04320">
      <w:pPr>
        <w:pStyle w:val="NormalWeb"/>
        <w:spacing w:before="0" w:beforeAutospacing="0" w:after="0" w:afterAutospacing="0" w:line="480" w:lineRule="auto"/>
        <w:rPr>
          <w:color w:val="0E101A"/>
        </w:rPr>
      </w:pPr>
    </w:p>
    <w:p w:rsidR="00C04320" w:rsidRPr="00C04320" w:rsidRDefault="00C04320" w:rsidP="00C04320">
      <w:pPr>
        <w:spacing w:after="0" w:line="480" w:lineRule="auto"/>
        <w:rPr>
          <w:rFonts w:ascii="Times New Roman" w:hAnsi="Times New Roman" w:cs="Times New Roman"/>
          <w:b/>
          <w:sz w:val="24"/>
          <w:szCs w:val="24"/>
        </w:rPr>
      </w:pPr>
    </w:p>
    <w:p w:rsidR="00C04320" w:rsidRPr="00C04320" w:rsidRDefault="00C04320" w:rsidP="00C04320">
      <w:pPr>
        <w:spacing w:after="0" w:line="480" w:lineRule="auto"/>
        <w:jc w:val="center"/>
        <w:rPr>
          <w:rFonts w:ascii="Times New Roman" w:hAnsi="Times New Roman" w:cs="Times New Roman"/>
          <w:b/>
          <w:sz w:val="24"/>
          <w:szCs w:val="24"/>
        </w:rPr>
      </w:pPr>
      <w:r w:rsidRPr="00C04320">
        <w:rPr>
          <w:rFonts w:ascii="Times New Roman" w:hAnsi="Times New Roman" w:cs="Times New Roman"/>
          <w:b/>
          <w:sz w:val="24"/>
          <w:szCs w:val="24"/>
        </w:rPr>
        <w:t>Iron Deficiency Anaemia</w:t>
      </w:r>
    </w:p>
    <w:p w:rsidR="00386516" w:rsidRPr="00C04320" w:rsidRDefault="00386516" w:rsidP="00C04320">
      <w:pPr>
        <w:spacing w:after="0" w:line="480" w:lineRule="auto"/>
        <w:ind w:firstLine="720"/>
        <w:rPr>
          <w:rFonts w:ascii="Times New Roman" w:hAnsi="Times New Roman" w:cs="Times New Roman"/>
          <w:sz w:val="24"/>
          <w:szCs w:val="24"/>
        </w:rPr>
      </w:pPr>
      <w:r w:rsidRPr="00C04320">
        <w:rPr>
          <w:rFonts w:ascii="Times New Roman" w:hAnsi="Times New Roman" w:cs="Times New Roman"/>
          <w:sz w:val="24"/>
          <w:szCs w:val="24"/>
        </w:rPr>
        <w:t>One-fourth of the world’s population is affected with anaemia which is associated with diminishing well-being, a cognitive function that is impaired, and fatigue that is considered chronic. Anaemia should be managed using proper and efficient methods to avoid fatality. Managing iron deficiency anaemia is an evidence-based evaluation method that improves the quality of life, alleviates iron deficiency symptoms, and reducing blood transfusions. The management’s methods include treatment option such as oral and Iron therapy that helps gastrointestinal conditions</w:t>
      </w:r>
      <w:r w:rsidR="00C04320" w:rsidRPr="00C04320">
        <w:rPr>
          <w:rFonts w:ascii="Times New Roman" w:hAnsi="Times New Roman" w:cs="Times New Roman"/>
          <w:sz w:val="24"/>
          <w:szCs w:val="24"/>
        </w:rPr>
        <w:t xml:space="preserve"> (</w:t>
      </w:r>
      <w:r w:rsidR="00C04320" w:rsidRPr="00C04320">
        <w:rPr>
          <w:rFonts w:ascii="Times New Roman" w:hAnsi="Times New Roman" w:cs="Times New Roman"/>
          <w:color w:val="222222"/>
          <w:sz w:val="24"/>
          <w:szCs w:val="24"/>
          <w:shd w:val="clear" w:color="auto" w:fill="FFFFFF"/>
        </w:rPr>
        <w:t>Jimenez, Kulnigg-Dabsch &amp; Gasche, 2015</w:t>
      </w:r>
      <w:r w:rsidR="00C04320" w:rsidRPr="00C04320">
        <w:rPr>
          <w:rFonts w:ascii="Times New Roman" w:hAnsi="Times New Roman" w:cs="Times New Roman"/>
          <w:sz w:val="24"/>
          <w:szCs w:val="24"/>
        </w:rPr>
        <w:t>)</w:t>
      </w:r>
      <w:r w:rsidRPr="00C04320">
        <w:rPr>
          <w:rFonts w:ascii="Times New Roman" w:hAnsi="Times New Roman" w:cs="Times New Roman"/>
          <w:sz w:val="24"/>
          <w:szCs w:val="24"/>
        </w:rPr>
        <w:t>. This article is important in the nursing profession since it distinguishes iron deficiency anaemia is from other anaemia causes through the initiation of effective, efficient, and appropriate treatment. Iron deficiency anaemia is caused by insufficient intake, overrating blood loss, and poor absorptions of substances in the body.  Most iron deficiency anaemia patients prefer gastrointestinal testament methods as evidence-based practices since gastrointestinal condition are the major cause of that type of anaemia.</w:t>
      </w:r>
    </w:p>
    <w:p w:rsidR="00CF29B3" w:rsidRPr="00C04320" w:rsidRDefault="00386516" w:rsidP="00C04320">
      <w:pPr>
        <w:spacing w:after="0" w:line="480" w:lineRule="auto"/>
        <w:ind w:firstLine="720"/>
        <w:rPr>
          <w:rFonts w:ascii="Times New Roman" w:hAnsi="Times New Roman" w:cs="Times New Roman"/>
          <w:sz w:val="24"/>
          <w:szCs w:val="24"/>
        </w:rPr>
      </w:pPr>
      <w:r w:rsidRPr="00C04320">
        <w:rPr>
          <w:rFonts w:ascii="Times New Roman" w:hAnsi="Times New Roman" w:cs="Times New Roman"/>
          <w:sz w:val="24"/>
          <w:szCs w:val="24"/>
        </w:rPr>
        <w:t>From the article, it is clear that prompt treatments to patients with iron deficiency are an effective and efficient treatment since it improves the quality of life and physical condition that is caused by fatigue and deficits. In the nursing profession, this article will be essential since it explains the reasons why iron deficiency without anaemia is related to chronic fatigue and RLS, and the gastrointestinal treatment alleviates the symptoms. The treatment of this disease is undertaken in conjunctions with specialist show develop different guidelines to help the patients recover. Oral and intravenous iron is the most common iron deficiency diseases. Oral iron is convenient, inexpensive, and effective when absorption is not impaired while intravenous iron is safe if formulations are avoided and has fast depletion of iron.</w:t>
      </w:r>
    </w:p>
    <w:p w:rsidR="00C04320" w:rsidRPr="00C04320" w:rsidRDefault="00C04320" w:rsidP="00C04320">
      <w:pPr>
        <w:spacing w:after="0" w:line="480" w:lineRule="auto"/>
        <w:jc w:val="center"/>
        <w:rPr>
          <w:rFonts w:ascii="Times New Roman" w:hAnsi="Times New Roman" w:cs="Times New Roman"/>
          <w:sz w:val="24"/>
          <w:szCs w:val="24"/>
        </w:rPr>
      </w:pPr>
      <w:r w:rsidRPr="00C04320">
        <w:rPr>
          <w:rFonts w:ascii="Times New Roman" w:hAnsi="Times New Roman" w:cs="Times New Roman"/>
          <w:sz w:val="24"/>
          <w:szCs w:val="24"/>
        </w:rPr>
        <w:t>Reference</w:t>
      </w:r>
    </w:p>
    <w:p w:rsidR="00C04320" w:rsidRPr="00C04320" w:rsidRDefault="00C04320" w:rsidP="00C04320">
      <w:pPr>
        <w:spacing w:after="0" w:line="480" w:lineRule="auto"/>
        <w:rPr>
          <w:rFonts w:ascii="Times New Roman" w:hAnsi="Times New Roman" w:cs="Times New Roman"/>
          <w:sz w:val="24"/>
          <w:szCs w:val="24"/>
        </w:rPr>
      </w:pPr>
      <w:r w:rsidRPr="00C04320">
        <w:rPr>
          <w:rFonts w:ascii="Times New Roman" w:hAnsi="Times New Roman" w:cs="Times New Roman"/>
          <w:color w:val="222222"/>
          <w:sz w:val="24"/>
          <w:szCs w:val="24"/>
          <w:shd w:val="clear" w:color="auto" w:fill="FFFFFF"/>
        </w:rPr>
        <w:t>Jimenez, K., Kulnigg-Dabsch, S., &amp; Gasche, C. (2015)</w:t>
      </w:r>
      <w:r>
        <w:rPr>
          <w:rFonts w:ascii="Times New Roman" w:hAnsi="Times New Roman" w:cs="Times New Roman"/>
          <w:color w:val="222222"/>
          <w:sz w:val="24"/>
          <w:szCs w:val="24"/>
          <w:shd w:val="clear" w:color="auto" w:fill="FFFFFF"/>
        </w:rPr>
        <w:t>. Management of iron deficiency</w:t>
      </w:r>
      <w:r>
        <w:rPr>
          <w:rFonts w:ascii="Times New Roman" w:hAnsi="Times New Roman" w:cs="Times New Roman"/>
          <w:color w:val="222222"/>
          <w:sz w:val="24"/>
          <w:szCs w:val="24"/>
          <w:shd w:val="clear" w:color="auto" w:fill="FFFFFF"/>
        </w:rPr>
        <w:tab/>
      </w:r>
      <w:r w:rsidRPr="00C04320">
        <w:rPr>
          <w:rFonts w:ascii="Times New Roman" w:hAnsi="Times New Roman" w:cs="Times New Roman"/>
          <w:color w:val="222222"/>
          <w:sz w:val="24"/>
          <w:szCs w:val="24"/>
          <w:shd w:val="clear" w:color="auto" w:fill="FFFFFF"/>
        </w:rPr>
        <w:t>anemia. </w:t>
      </w:r>
      <w:r w:rsidRPr="00C04320">
        <w:rPr>
          <w:rFonts w:ascii="Times New Roman" w:hAnsi="Times New Roman" w:cs="Times New Roman"/>
          <w:i/>
          <w:iCs/>
          <w:color w:val="222222"/>
          <w:sz w:val="24"/>
          <w:szCs w:val="24"/>
          <w:shd w:val="clear" w:color="auto" w:fill="FFFFFF"/>
        </w:rPr>
        <w:t>Gastroenterology &amp; Hepatology</w:t>
      </w:r>
      <w:r w:rsidRPr="00C04320">
        <w:rPr>
          <w:rFonts w:ascii="Times New Roman" w:hAnsi="Times New Roman" w:cs="Times New Roman"/>
          <w:color w:val="222222"/>
          <w:sz w:val="24"/>
          <w:szCs w:val="24"/>
          <w:shd w:val="clear" w:color="auto" w:fill="FFFFFF"/>
        </w:rPr>
        <w:t>, </w:t>
      </w:r>
      <w:r w:rsidRPr="00C04320">
        <w:rPr>
          <w:rFonts w:ascii="Times New Roman" w:hAnsi="Times New Roman" w:cs="Times New Roman"/>
          <w:i/>
          <w:iCs/>
          <w:color w:val="222222"/>
          <w:sz w:val="24"/>
          <w:szCs w:val="24"/>
          <w:shd w:val="clear" w:color="auto" w:fill="FFFFFF"/>
        </w:rPr>
        <w:t>11</w:t>
      </w:r>
      <w:r w:rsidRPr="00C04320">
        <w:rPr>
          <w:rFonts w:ascii="Times New Roman" w:hAnsi="Times New Roman" w:cs="Times New Roman"/>
          <w:color w:val="222222"/>
          <w:sz w:val="24"/>
          <w:szCs w:val="24"/>
          <w:shd w:val="clear" w:color="auto" w:fill="FFFFFF"/>
        </w:rPr>
        <w:t>(4), 241.</w:t>
      </w:r>
    </w:p>
    <w:sectPr w:rsidR="00C04320" w:rsidRPr="00C04320" w:rsidSect="003865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B9E" w:rsidRDefault="00865B9E" w:rsidP="0003012F">
      <w:pPr>
        <w:spacing w:after="0" w:line="240" w:lineRule="auto"/>
      </w:pPr>
      <w:r>
        <w:separator/>
      </w:r>
    </w:p>
  </w:endnote>
  <w:endnote w:type="continuationSeparator" w:id="0">
    <w:p w:rsidR="00865B9E" w:rsidRDefault="00865B9E" w:rsidP="0003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B9E" w:rsidRDefault="00865B9E" w:rsidP="0003012F">
      <w:pPr>
        <w:spacing w:after="0" w:line="240" w:lineRule="auto"/>
      </w:pPr>
      <w:r>
        <w:separator/>
      </w:r>
    </w:p>
  </w:footnote>
  <w:footnote w:type="continuationSeparator" w:id="0">
    <w:p w:rsidR="00865B9E" w:rsidRDefault="00865B9E" w:rsidP="000301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320" w:rsidRPr="00C04320" w:rsidRDefault="00C04320" w:rsidP="00C04320">
    <w:pPr>
      <w:pStyle w:val="Header"/>
      <w:spacing w:line="480" w:lineRule="auto"/>
      <w:jc w:val="right"/>
      <w:rPr>
        <w:rFonts w:ascii="Times New Roman" w:hAnsi="Times New Roman" w:cs="Times New Roman"/>
        <w:sz w:val="24"/>
        <w:szCs w:val="24"/>
      </w:rPr>
    </w:pPr>
    <w:r w:rsidRPr="00C04320">
      <w:rPr>
        <w:rFonts w:ascii="Times New Roman" w:hAnsi="Times New Roman" w:cs="Times New Roman"/>
        <w:sz w:val="24"/>
        <w:szCs w:val="24"/>
      </w:rPr>
      <w:t>IRON DEFICIENCY ANAEMIA</w:t>
    </w:r>
    <w:r w:rsidRPr="00C04320">
      <w:rPr>
        <w:rFonts w:ascii="Times New Roman" w:hAnsi="Times New Roman" w:cs="Times New Roman"/>
        <w:sz w:val="24"/>
        <w:szCs w:val="24"/>
      </w:rPr>
      <w:tab/>
    </w:r>
    <w:r w:rsidRPr="00C04320">
      <w:rPr>
        <w:rFonts w:ascii="Times New Roman" w:hAnsi="Times New Roman" w:cs="Times New Roman"/>
        <w:sz w:val="24"/>
        <w:szCs w:val="24"/>
      </w:rPr>
      <w:tab/>
    </w:r>
    <w:sdt>
      <w:sdtPr>
        <w:rPr>
          <w:rFonts w:ascii="Times New Roman" w:hAnsi="Times New Roman" w:cs="Times New Roman"/>
          <w:sz w:val="24"/>
          <w:szCs w:val="24"/>
        </w:rPr>
        <w:id w:val="95812417"/>
        <w:docPartObj>
          <w:docPartGallery w:val="Page Numbers (Top of Page)"/>
          <w:docPartUnique/>
        </w:docPartObj>
      </w:sdtPr>
      <w:sdtEndPr/>
      <w:sdtContent>
        <w:r w:rsidRPr="00C04320">
          <w:rPr>
            <w:rFonts w:ascii="Times New Roman" w:hAnsi="Times New Roman" w:cs="Times New Roman"/>
            <w:sz w:val="24"/>
            <w:szCs w:val="24"/>
          </w:rPr>
          <w:fldChar w:fldCharType="begin"/>
        </w:r>
        <w:r w:rsidRPr="00C04320">
          <w:rPr>
            <w:rFonts w:ascii="Times New Roman" w:hAnsi="Times New Roman" w:cs="Times New Roman"/>
            <w:sz w:val="24"/>
            <w:szCs w:val="24"/>
          </w:rPr>
          <w:instrText xml:space="preserve"> PAGE   \* MERGEFORMAT </w:instrText>
        </w:r>
        <w:r w:rsidRPr="00C04320">
          <w:rPr>
            <w:rFonts w:ascii="Times New Roman" w:hAnsi="Times New Roman" w:cs="Times New Roman"/>
            <w:sz w:val="24"/>
            <w:szCs w:val="24"/>
          </w:rPr>
          <w:fldChar w:fldCharType="separate"/>
        </w:r>
        <w:r w:rsidR="00326B55">
          <w:rPr>
            <w:rFonts w:ascii="Times New Roman" w:hAnsi="Times New Roman" w:cs="Times New Roman"/>
            <w:noProof/>
            <w:sz w:val="24"/>
            <w:szCs w:val="24"/>
          </w:rPr>
          <w:t>2</w:t>
        </w:r>
        <w:r w:rsidRPr="00C0432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516" w:rsidRPr="00C04320" w:rsidRDefault="00386516" w:rsidP="00C04320">
    <w:pPr>
      <w:pStyle w:val="Header"/>
      <w:spacing w:line="480" w:lineRule="auto"/>
      <w:jc w:val="right"/>
      <w:rPr>
        <w:rFonts w:ascii="Times New Roman" w:hAnsi="Times New Roman" w:cs="Times New Roman"/>
        <w:sz w:val="24"/>
        <w:szCs w:val="24"/>
      </w:rPr>
    </w:pPr>
    <w:r w:rsidRPr="00C04320">
      <w:rPr>
        <w:rFonts w:ascii="Times New Roman" w:hAnsi="Times New Roman" w:cs="Times New Roman"/>
        <w:sz w:val="24"/>
        <w:szCs w:val="24"/>
      </w:rPr>
      <w:t>Running head: IRON DEF</w:t>
    </w:r>
    <w:r w:rsidR="00C04320" w:rsidRPr="00C04320">
      <w:rPr>
        <w:rFonts w:ascii="Times New Roman" w:hAnsi="Times New Roman" w:cs="Times New Roman"/>
        <w:sz w:val="24"/>
        <w:szCs w:val="24"/>
      </w:rPr>
      <w:t>ICI</w:t>
    </w:r>
    <w:r w:rsidR="00C04320">
      <w:rPr>
        <w:rFonts w:ascii="Times New Roman" w:hAnsi="Times New Roman" w:cs="Times New Roman"/>
        <w:sz w:val="24"/>
        <w:szCs w:val="24"/>
      </w:rPr>
      <w:t>E</w:t>
    </w:r>
    <w:r w:rsidR="00C04320" w:rsidRPr="00C04320">
      <w:rPr>
        <w:rFonts w:ascii="Times New Roman" w:hAnsi="Times New Roman" w:cs="Times New Roman"/>
        <w:sz w:val="24"/>
        <w:szCs w:val="24"/>
      </w:rPr>
      <w:t>NCY ANAEMIA</w:t>
    </w:r>
    <w:r w:rsidR="00C04320" w:rsidRPr="00C04320">
      <w:rPr>
        <w:rFonts w:ascii="Times New Roman" w:hAnsi="Times New Roman" w:cs="Times New Roman"/>
        <w:sz w:val="24"/>
        <w:szCs w:val="24"/>
      </w:rPr>
      <w:tab/>
    </w:r>
    <w:r w:rsidR="00C04320" w:rsidRPr="00C04320">
      <w:rPr>
        <w:rFonts w:ascii="Times New Roman" w:hAnsi="Times New Roman" w:cs="Times New Roman"/>
        <w:sz w:val="24"/>
        <w:szCs w:val="24"/>
      </w:rPr>
      <w:tab/>
    </w:r>
    <w:sdt>
      <w:sdtPr>
        <w:rPr>
          <w:rFonts w:ascii="Times New Roman" w:hAnsi="Times New Roman" w:cs="Times New Roman"/>
          <w:sz w:val="24"/>
          <w:szCs w:val="24"/>
        </w:rPr>
        <w:id w:val="95812368"/>
        <w:docPartObj>
          <w:docPartGallery w:val="Page Numbers (Top of Page)"/>
          <w:docPartUnique/>
        </w:docPartObj>
      </w:sdtPr>
      <w:sdtEndPr/>
      <w:sdtContent>
        <w:r w:rsidRPr="00C04320">
          <w:rPr>
            <w:rFonts w:ascii="Times New Roman" w:hAnsi="Times New Roman" w:cs="Times New Roman"/>
            <w:sz w:val="24"/>
            <w:szCs w:val="24"/>
          </w:rPr>
          <w:fldChar w:fldCharType="begin"/>
        </w:r>
        <w:r w:rsidRPr="00C04320">
          <w:rPr>
            <w:rFonts w:ascii="Times New Roman" w:hAnsi="Times New Roman" w:cs="Times New Roman"/>
            <w:sz w:val="24"/>
            <w:szCs w:val="24"/>
          </w:rPr>
          <w:instrText xml:space="preserve"> PAGE   \* MERGEFORMAT </w:instrText>
        </w:r>
        <w:r w:rsidRPr="00C04320">
          <w:rPr>
            <w:rFonts w:ascii="Times New Roman" w:hAnsi="Times New Roman" w:cs="Times New Roman"/>
            <w:sz w:val="24"/>
            <w:szCs w:val="24"/>
          </w:rPr>
          <w:fldChar w:fldCharType="separate"/>
        </w:r>
        <w:r w:rsidR="00865B9E">
          <w:rPr>
            <w:rFonts w:ascii="Times New Roman" w:hAnsi="Times New Roman" w:cs="Times New Roman"/>
            <w:noProof/>
            <w:sz w:val="24"/>
            <w:szCs w:val="24"/>
          </w:rPr>
          <w:t>1</w:t>
        </w:r>
        <w:r w:rsidRPr="00C04320">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3012F"/>
    <w:rsid w:val="0003012F"/>
    <w:rsid w:val="00196E31"/>
    <w:rsid w:val="00326B55"/>
    <w:rsid w:val="00386516"/>
    <w:rsid w:val="005672F0"/>
    <w:rsid w:val="007B7E36"/>
    <w:rsid w:val="00865B9E"/>
    <w:rsid w:val="00B921B3"/>
    <w:rsid w:val="00C04320"/>
    <w:rsid w:val="00C62AD7"/>
    <w:rsid w:val="00CE3301"/>
    <w:rsid w:val="00CF29B3"/>
    <w:rsid w:val="00DC1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E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12F"/>
  </w:style>
  <w:style w:type="paragraph" w:styleId="Footer">
    <w:name w:val="footer"/>
    <w:basedOn w:val="Normal"/>
    <w:link w:val="FooterChar"/>
    <w:uiPriority w:val="99"/>
    <w:semiHidden/>
    <w:unhideWhenUsed/>
    <w:rsid w:val="000301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012F"/>
  </w:style>
  <w:style w:type="paragraph" w:styleId="NormalWeb">
    <w:name w:val="Normal (Web)"/>
    <w:basedOn w:val="Normal"/>
    <w:uiPriority w:val="99"/>
    <w:semiHidden/>
    <w:unhideWhenUsed/>
    <w:rsid w:val="00C043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432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654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2020-06-27T00:32:00Z</dcterms:created>
  <dcterms:modified xsi:type="dcterms:W3CDTF">2020-06-27T00:32:00Z</dcterms:modified>
</cp:coreProperties>
</file>