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C3E434" w14:textId="77777777" w:rsidR="0073698F" w:rsidRPr="0020779E" w:rsidRDefault="0073698F" w:rsidP="0073698F">
      <w:pPr>
        <w:spacing w:after="0" w:line="240" w:lineRule="auto"/>
        <w:jc w:val="center"/>
        <w:textAlignment w:val="baseline"/>
        <w:rPr>
          <w:rFonts w:ascii="Segoe UI" w:eastAsia="Times New Roman" w:hAnsi="Segoe UI" w:cs="Segoe UI"/>
          <w:sz w:val="18"/>
          <w:szCs w:val="18"/>
        </w:rPr>
      </w:pPr>
      <w:r>
        <w:rPr>
          <w:rFonts w:ascii="Times New Roman" w:eastAsia="Times New Roman" w:hAnsi="Times New Roman"/>
          <w:noProof/>
          <w:sz w:val="52"/>
          <w:szCs w:val="52"/>
        </w:rPr>
        <w:drawing>
          <wp:inline distT="0" distB="0" distL="0" distR="0" wp14:anchorId="34963FAB" wp14:editId="03155552">
            <wp:extent cx="21431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png"/>
                    <pic:cNvPicPr/>
                  </pic:nvPicPr>
                  <pic:blipFill>
                    <a:blip r:embed="rId6">
                      <a:extLst>
                        <a:ext uri="{28A0092B-C50C-407E-A947-70E740481C1C}">
                          <a14:useLocalDpi xmlns:a14="http://schemas.microsoft.com/office/drawing/2010/main" val="0"/>
                        </a:ext>
                      </a:extLst>
                    </a:blip>
                    <a:stretch>
                      <a:fillRect/>
                    </a:stretch>
                  </pic:blipFill>
                  <pic:spPr>
                    <a:xfrm>
                      <a:off x="0" y="0"/>
                      <a:ext cx="2143125" cy="1600200"/>
                    </a:xfrm>
                    <a:prstGeom prst="rect">
                      <a:avLst/>
                    </a:prstGeom>
                  </pic:spPr>
                </pic:pic>
              </a:graphicData>
            </a:graphic>
          </wp:inline>
        </w:drawing>
      </w:r>
      <w:r w:rsidRPr="0020779E">
        <w:rPr>
          <w:rFonts w:ascii="Times New Roman" w:eastAsia="Times New Roman" w:hAnsi="Times New Roman"/>
          <w:sz w:val="52"/>
          <w:szCs w:val="52"/>
        </w:rPr>
        <w:t> </w:t>
      </w:r>
      <w:r>
        <w:t>  </w:t>
      </w:r>
    </w:p>
    <w:p w14:paraId="2AEEB1EF" w14:textId="364ABB35" w:rsidR="0073698F" w:rsidRDefault="0073698F" w:rsidP="0073698F">
      <w:pPr>
        <w:spacing w:after="0" w:line="240" w:lineRule="auto"/>
        <w:jc w:val="center"/>
        <w:textAlignment w:val="baseline"/>
        <w:rPr>
          <w:rFonts w:ascii="Times New Roman" w:hAnsi="Times New Roman"/>
          <w:b/>
          <w:color w:val="0D0D0D" w:themeColor="text1" w:themeTint="F2"/>
          <w:position w:val="-2"/>
          <w:sz w:val="52"/>
          <w:szCs w:val="52"/>
          <w:shd w:val="clear" w:color="auto" w:fill="FFFFFF"/>
        </w:rPr>
      </w:pPr>
      <w:r w:rsidRPr="0073698F">
        <w:rPr>
          <w:rFonts w:ascii="Times New Roman" w:hAnsi="Times New Roman"/>
          <w:b/>
          <w:color w:val="0D0D0D" w:themeColor="text1" w:themeTint="F2"/>
          <w:position w:val="-2"/>
          <w:sz w:val="52"/>
          <w:szCs w:val="52"/>
          <w:shd w:val="clear" w:color="auto" w:fill="FFFFFF"/>
        </w:rPr>
        <w:t>Johnson &amp; Johnson Tylenol</w:t>
      </w:r>
    </w:p>
    <w:p w14:paraId="6BFCAA0E" w14:textId="5E1A958B" w:rsidR="0073698F" w:rsidRPr="0055630D" w:rsidRDefault="0073698F" w:rsidP="0073698F">
      <w:pPr>
        <w:spacing w:after="0" w:line="240" w:lineRule="auto"/>
        <w:jc w:val="center"/>
        <w:textAlignment w:val="baseline"/>
        <w:rPr>
          <w:rFonts w:ascii="Times New Roman" w:eastAsia="Times New Roman" w:hAnsi="Times New Roman"/>
          <w:b/>
          <w:color w:val="0D0D0D" w:themeColor="text1" w:themeTint="F2"/>
          <w:sz w:val="52"/>
          <w:szCs w:val="52"/>
        </w:rPr>
      </w:pPr>
      <w:r>
        <w:rPr>
          <w:rFonts w:ascii="Times New Roman" w:eastAsia="Times New Roman" w:hAnsi="Times New Roman"/>
          <w:b/>
          <w:noProof/>
          <w:color w:val="0D0D0D" w:themeColor="text1" w:themeTint="F2"/>
          <w:sz w:val="52"/>
          <w:szCs w:val="52"/>
        </w:rPr>
        <w:drawing>
          <wp:inline distT="0" distB="0" distL="0" distR="0" wp14:anchorId="3CE7E3F1" wp14:editId="4E62F638">
            <wp:extent cx="4152265" cy="2200164"/>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ylenol-Extra-Strength-Allen-via-Flickr-cc.jpg"/>
                    <pic:cNvPicPr/>
                  </pic:nvPicPr>
                  <pic:blipFill>
                    <a:blip r:embed="rId7">
                      <a:extLst>
                        <a:ext uri="{28A0092B-C50C-407E-A947-70E740481C1C}">
                          <a14:useLocalDpi xmlns:a14="http://schemas.microsoft.com/office/drawing/2010/main" val="0"/>
                        </a:ext>
                      </a:extLst>
                    </a:blip>
                    <a:stretch>
                      <a:fillRect/>
                    </a:stretch>
                  </pic:blipFill>
                  <pic:spPr>
                    <a:xfrm>
                      <a:off x="0" y="0"/>
                      <a:ext cx="4216154" cy="2234017"/>
                    </a:xfrm>
                    <a:prstGeom prst="rect">
                      <a:avLst/>
                    </a:prstGeom>
                  </pic:spPr>
                </pic:pic>
              </a:graphicData>
            </a:graphic>
          </wp:inline>
        </w:drawing>
      </w:r>
    </w:p>
    <w:p w14:paraId="31B30B9B" w14:textId="66F1F82A" w:rsidR="0073698F" w:rsidRPr="0020779E" w:rsidRDefault="0073698F" w:rsidP="0073698F">
      <w:pPr>
        <w:spacing w:after="0" w:line="240" w:lineRule="auto"/>
        <w:jc w:val="center"/>
        <w:textAlignment w:val="baseline"/>
        <w:rPr>
          <w:rFonts w:ascii="Segoe UI" w:eastAsia="Times New Roman" w:hAnsi="Segoe UI" w:cs="Segoe UI"/>
          <w:sz w:val="18"/>
          <w:szCs w:val="18"/>
        </w:rPr>
      </w:pPr>
      <w:r w:rsidRPr="0020779E">
        <w:rPr>
          <w:rFonts w:ascii="Times New Roman" w:eastAsia="Times New Roman" w:hAnsi="Times New Roman"/>
          <w:sz w:val="52"/>
          <w:szCs w:val="52"/>
        </w:rPr>
        <w:t>  </w:t>
      </w:r>
    </w:p>
    <w:p w14:paraId="3CD0F7B9" w14:textId="77777777" w:rsidR="0073698F" w:rsidRPr="0020779E" w:rsidRDefault="0073698F" w:rsidP="0073698F">
      <w:pPr>
        <w:spacing w:after="0" w:line="240" w:lineRule="auto"/>
        <w:jc w:val="center"/>
        <w:textAlignment w:val="baseline"/>
        <w:rPr>
          <w:rFonts w:ascii="Segoe UI" w:eastAsia="Times New Roman" w:hAnsi="Segoe UI" w:cs="Segoe UI"/>
          <w:color w:val="3B3838" w:themeColor="background2" w:themeShade="40"/>
          <w:sz w:val="44"/>
          <w:szCs w:val="44"/>
        </w:rPr>
      </w:pPr>
      <w:r w:rsidRPr="0055630D">
        <w:rPr>
          <w:rFonts w:ascii="Times New Roman" w:eastAsia="Times New Roman" w:hAnsi="Times New Roman"/>
          <w:b/>
          <w:bCs/>
          <w:color w:val="3B3838" w:themeColor="background2" w:themeShade="40"/>
          <w:sz w:val="44"/>
          <w:szCs w:val="44"/>
        </w:rPr>
        <w:t>MBA 692-01: Social, Legal, and Ethical Aspects of Business </w:t>
      </w:r>
      <w:r w:rsidRPr="0055630D">
        <w:rPr>
          <w:rFonts w:ascii="Times New Roman" w:eastAsia="Times New Roman" w:hAnsi="Times New Roman"/>
          <w:color w:val="3B3838" w:themeColor="background2" w:themeShade="40"/>
          <w:sz w:val="44"/>
          <w:szCs w:val="44"/>
        </w:rPr>
        <w:t> </w:t>
      </w:r>
    </w:p>
    <w:p w14:paraId="37BC59D0" w14:textId="77777777" w:rsidR="0073698F" w:rsidRPr="0020779E" w:rsidRDefault="0073698F" w:rsidP="0073698F">
      <w:pPr>
        <w:spacing w:after="0" w:line="240" w:lineRule="auto"/>
        <w:jc w:val="center"/>
        <w:textAlignment w:val="baseline"/>
        <w:rPr>
          <w:rFonts w:ascii="Segoe UI" w:eastAsia="Times New Roman" w:hAnsi="Segoe UI" w:cs="Segoe UI"/>
          <w:color w:val="3B3838" w:themeColor="background2" w:themeShade="40"/>
          <w:sz w:val="44"/>
          <w:szCs w:val="44"/>
        </w:rPr>
      </w:pPr>
      <w:r w:rsidRPr="0055630D">
        <w:rPr>
          <w:rFonts w:ascii="Times New Roman" w:eastAsia="Times New Roman" w:hAnsi="Times New Roman"/>
          <w:color w:val="3B3838" w:themeColor="background2" w:themeShade="40"/>
          <w:sz w:val="44"/>
          <w:szCs w:val="44"/>
        </w:rPr>
        <w:t> </w:t>
      </w:r>
    </w:p>
    <w:p w14:paraId="4FCE3FBA" w14:textId="77777777" w:rsidR="0073698F" w:rsidRPr="0020779E" w:rsidRDefault="0073698F" w:rsidP="0073698F">
      <w:pPr>
        <w:spacing w:after="0" w:line="240" w:lineRule="auto"/>
        <w:jc w:val="center"/>
        <w:textAlignment w:val="baseline"/>
        <w:rPr>
          <w:rFonts w:ascii="Segoe UI" w:eastAsia="Times New Roman" w:hAnsi="Segoe UI" w:cs="Segoe UI"/>
          <w:color w:val="3B3838" w:themeColor="background2" w:themeShade="40"/>
          <w:sz w:val="44"/>
          <w:szCs w:val="44"/>
        </w:rPr>
      </w:pPr>
      <w:r w:rsidRPr="0055630D">
        <w:rPr>
          <w:rFonts w:ascii="Times New Roman" w:eastAsia="Times New Roman" w:hAnsi="Times New Roman"/>
          <w:b/>
          <w:bCs/>
          <w:color w:val="3B3838" w:themeColor="background2" w:themeShade="40"/>
          <w:sz w:val="44"/>
          <w:szCs w:val="44"/>
        </w:rPr>
        <w:t>Professor: Anthony Sadler</w:t>
      </w:r>
      <w:r w:rsidRPr="0055630D">
        <w:rPr>
          <w:rFonts w:ascii="Times New Roman" w:eastAsia="Times New Roman" w:hAnsi="Times New Roman"/>
          <w:color w:val="3B3838" w:themeColor="background2" w:themeShade="40"/>
          <w:sz w:val="44"/>
          <w:szCs w:val="44"/>
        </w:rPr>
        <w:t> </w:t>
      </w:r>
    </w:p>
    <w:p w14:paraId="366FA121" w14:textId="77777777" w:rsidR="0073698F" w:rsidRPr="0020779E" w:rsidRDefault="0073698F" w:rsidP="0073698F">
      <w:pPr>
        <w:spacing w:after="0" w:line="240" w:lineRule="auto"/>
        <w:jc w:val="center"/>
        <w:textAlignment w:val="baseline"/>
        <w:rPr>
          <w:rFonts w:ascii="Segoe UI" w:eastAsia="Times New Roman" w:hAnsi="Segoe UI" w:cs="Segoe UI"/>
          <w:color w:val="3B3838" w:themeColor="background2" w:themeShade="40"/>
          <w:sz w:val="44"/>
          <w:szCs w:val="44"/>
        </w:rPr>
      </w:pPr>
      <w:r w:rsidRPr="0055630D">
        <w:rPr>
          <w:rFonts w:ascii="Times New Roman" w:eastAsia="Times New Roman" w:hAnsi="Times New Roman"/>
          <w:color w:val="3B3838" w:themeColor="background2" w:themeShade="40"/>
          <w:sz w:val="44"/>
          <w:szCs w:val="44"/>
        </w:rPr>
        <w:t> </w:t>
      </w:r>
    </w:p>
    <w:p w14:paraId="738551AB" w14:textId="77777777" w:rsidR="0073698F" w:rsidRPr="0020779E" w:rsidRDefault="0073698F" w:rsidP="0073698F">
      <w:pPr>
        <w:spacing w:after="0" w:line="240" w:lineRule="auto"/>
        <w:jc w:val="center"/>
        <w:textAlignment w:val="baseline"/>
        <w:rPr>
          <w:rFonts w:ascii="Segoe UI" w:eastAsia="Times New Roman" w:hAnsi="Segoe UI" w:cs="Segoe UI"/>
          <w:color w:val="3B3838" w:themeColor="background2" w:themeShade="40"/>
          <w:sz w:val="44"/>
          <w:szCs w:val="44"/>
        </w:rPr>
      </w:pPr>
      <w:r w:rsidRPr="0055630D">
        <w:rPr>
          <w:rFonts w:ascii="Times New Roman" w:eastAsia="Times New Roman" w:hAnsi="Times New Roman"/>
          <w:b/>
          <w:bCs/>
          <w:color w:val="3B3838" w:themeColor="background2" w:themeShade="40"/>
          <w:sz w:val="44"/>
          <w:szCs w:val="44"/>
        </w:rPr>
        <w:t>By: James </w:t>
      </w:r>
      <w:r>
        <w:rPr>
          <w:rFonts w:ascii="Times New Roman" w:eastAsia="Times New Roman" w:hAnsi="Times New Roman"/>
          <w:b/>
          <w:bCs/>
          <w:color w:val="3B3838" w:themeColor="background2" w:themeShade="40"/>
          <w:sz w:val="44"/>
          <w:szCs w:val="44"/>
        </w:rPr>
        <w:t>Casanova,</w:t>
      </w:r>
      <w:r w:rsidRPr="0055630D">
        <w:rPr>
          <w:rFonts w:ascii="Times New Roman" w:eastAsia="Times New Roman" w:hAnsi="Times New Roman"/>
          <w:b/>
          <w:bCs/>
          <w:color w:val="3B3838" w:themeColor="background2" w:themeShade="40"/>
          <w:sz w:val="44"/>
          <w:szCs w:val="44"/>
        </w:rPr>
        <w:t xml:space="preserve"> Victoria </w:t>
      </w:r>
      <w:proofErr w:type="spellStart"/>
      <w:r w:rsidRPr="0055630D">
        <w:rPr>
          <w:rFonts w:ascii="Times New Roman" w:eastAsia="Times New Roman" w:hAnsi="Times New Roman"/>
          <w:b/>
          <w:bCs/>
          <w:color w:val="3B3838" w:themeColor="background2" w:themeShade="40"/>
          <w:sz w:val="44"/>
          <w:szCs w:val="44"/>
        </w:rPr>
        <w:t>Izquierdo</w:t>
      </w:r>
      <w:proofErr w:type="spellEnd"/>
      <w:r w:rsidRPr="0055630D">
        <w:rPr>
          <w:rFonts w:ascii="Times New Roman" w:eastAsia="Times New Roman" w:hAnsi="Times New Roman"/>
          <w:b/>
          <w:bCs/>
          <w:color w:val="3B3838" w:themeColor="background2" w:themeShade="40"/>
          <w:sz w:val="44"/>
          <w:szCs w:val="44"/>
        </w:rPr>
        <w:t> and Saud Alkhathlan</w:t>
      </w:r>
      <w:r w:rsidRPr="0055630D">
        <w:rPr>
          <w:rFonts w:ascii="Times New Roman" w:eastAsia="Times New Roman" w:hAnsi="Times New Roman"/>
          <w:color w:val="3B3838" w:themeColor="background2" w:themeShade="40"/>
          <w:sz w:val="44"/>
          <w:szCs w:val="44"/>
        </w:rPr>
        <w:t> </w:t>
      </w:r>
    </w:p>
    <w:p w14:paraId="5C9AEF6D" w14:textId="77777777" w:rsidR="0073698F" w:rsidRPr="0020779E" w:rsidRDefault="0073698F" w:rsidP="0073698F">
      <w:pPr>
        <w:spacing w:after="0" w:line="240" w:lineRule="auto"/>
        <w:jc w:val="center"/>
        <w:textAlignment w:val="baseline"/>
        <w:rPr>
          <w:rFonts w:ascii="Segoe UI" w:eastAsia="Times New Roman" w:hAnsi="Segoe UI" w:cs="Segoe UI"/>
          <w:color w:val="3B3838" w:themeColor="background2" w:themeShade="40"/>
          <w:sz w:val="18"/>
          <w:szCs w:val="18"/>
        </w:rPr>
      </w:pPr>
      <w:r w:rsidRPr="0055630D">
        <w:rPr>
          <w:rFonts w:ascii="Times New Roman" w:eastAsia="Times New Roman" w:hAnsi="Times New Roman"/>
          <w:color w:val="3B3838" w:themeColor="background2" w:themeShade="40"/>
          <w:sz w:val="40"/>
          <w:szCs w:val="40"/>
        </w:rPr>
        <w:t> </w:t>
      </w:r>
    </w:p>
    <w:p w14:paraId="3EE00E6D" w14:textId="77777777" w:rsidR="0073698F" w:rsidRPr="0020779E" w:rsidRDefault="0073698F" w:rsidP="0073698F">
      <w:pPr>
        <w:spacing w:after="0" w:line="240" w:lineRule="auto"/>
        <w:jc w:val="center"/>
        <w:textAlignment w:val="baseline"/>
        <w:rPr>
          <w:rFonts w:ascii="Segoe UI" w:eastAsia="Times New Roman" w:hAnsi="Segoe UI" w:cs="Segoe UI"/>
          <w:color w:val="3B3838" w:themeColor="background2" w:themeShade="40"/>
          <w:sz w:val="18"/>
          <w:szCs w:val="18"/>
        </w:rPr>
      </w:pPr>
      <w:r w:rsidRPr="0055630D">
        <w:rPr>
          <w:rFonts w:ascii="Times New Roman" w:eastAsia="Times New Roman" w:hAnsi="Times New Roman"/>
          <w:b/>
          <w:bCs/>
          <w:color w:val="3B3838" w:themeColor="background2" w:themeShade="40"/>
          <w:sz w:val="40"/>
          <w:szCs w:val="40"/>
        </w:rPr>
        <w:t>12 Sep 2018</w:t>
      </w:r>
      <w:r w:rsidRPr="0055630D">
        <w:rPr>
          <w:rFonts w:ascii="Times New Roman" w:eastAsia="Times New Roman" w:hAnsi="Times New Roman"/>
          <w:color w:val="3B3838" w:themeColor="background2" w:themeShade="40"/>
          <w:sz w:val="40"/>
          <w:szCs w:val="40"/>
        </w:rPr>
        <w:t> </w:t>
      </w:r>
    </w:p>
    <w:p w14:paraId="011D552F" w14:textId="77777777" w:rsidR="0073698F" w:rsidRDefault="0073698F" w:rsidP="3C901CF7">
      <w:pPr>
        <w:spacing w:line="480" w:lineRule="auto"/>
        <w:contextualSpacing/>
        <w:jc w:val="center"/>
        <w:rPr>
          <w:rFonts w:asciiTheme="majorBidi" w:hAnsiTheme="majorBidi" w:cstheme="majorBidi"/>
          <w:b/>
          <w:bCs/>
          <w:color w:val="000000" w:themeColor="text1"/>
          <w:sz w:val="24"/>
          <w:szCs w:val="24"/>
        </w:rPr>
      </w:pPr>
    </w:p>
    <w:p w14:paraId="663EB46D" w14:textId="77777777" w:rsidR="0073698F" w:rsidRDefault="0073698F" w:rsidP="3C901CF7">
      <w:pPr>
        <w:spacing w:line="480" w:lineRule="auto"/>
        <w:contextualSpacing/>
        <w:jc w:val="center"/>
        <w:rPr>
          <w:rFonts w:asciiTheme="majorBidi" w:hAnsiTheme="majorBidi" w:cstheme="majorBidi"/>
          <w:b/>
          <w:bCs/>
          <w:color w:val="000000" w:themeColor="text1"/>
          <w:sz w:val="24"/>
          <w:szCs w:val="24"/>
        </w:rPr>
      </w:pPr>
    </w:p>
    <w:p w14:paraId="003FD89F" w14:textId="0F6F22B9" w:rsidR="007D271B" w:rsidRDefault="3C901CF7" w:rsidP="3C901CF7">
      <w:pPr>
        <w:spacing w:line="480" w:lineRule="auto"/>
        <w:contextualSpacing/>
        <w:jc w:val="center"/>
        <w:rPr>
          <w:rFonts w:asciiTheme="majorBidi" w:hAnsiTheme="majorBidi" w:cstheme="majorBidi"/>
          <w:b/>
          <w:bCs/>
          <w:color w:val="000000" w:themeColor="text1"/>
          <w:sz w:val="24"/>
          <w:szCs w:val="24"/>
        </w:rPr>
      </w:pPr>
      <w:r w:rsidRPr="3C901CF7">
        <w:rPr>
          <w:rFonts w:asciiTheme="majorBidi" w:hAnsiTheme="majorBidi" w:cstheme="majorBidi"/>
          <w:b/>
          <w:bCs/>
          <w:color w:val="000000" w:themeColor="text1"/>
          <w:sz w:val="24"/>
          <w:szCs w:val="24"/>
        </w:rPr>
        <w:lastRenderedPageBreak/>
        <w:t>Key Facts</w:t>
      </w:r>
    </w:p>
    <w:p w14:paraId="3593C5A2" w14:textId="77777777" w:rsidR="0073698F" w:rsidRPr="007D271B" w:rsidRDefault="0073698F" w:rsidP="3C901CF7">
      <w:pPr>
        <w:spacing w:line="480" w:lineRule="auto"/>
        <w:contextualSpacing/>
        <w:jc w:val="center"/>
        <w:rPr>
          <w:rFonts w:asciiTheme="majorBidi" w:hAnsiTheme="majorBidi" w:cstheme="majorBidi"/>
          <w:b/>
          <w:bCs/>
          <w:color w:val="000000" w:themeColor="text1"/>
          <w:sz w:val="24"/>
          <w:szCs w:val="24"/>
        </w:rPr>
      </w:pPr>
      <w:bookmarkStart w:id="0" w:name="_GoBack"/>
      <w:bookmarkEnd w:id="0"/>
    </w:p>
    <w:p w14:paraId="6F2AEA92" w14:textId="0B15A2FD" w:rsidR="007D271B" w:rsidRPr="007D271B" w:rsidRDefault="68BDFBBF" w:rsidP="68BDFBBF">
      <w:pPr>
        <w:spacing w:line="480" w:lineRule="auto"/>
        <w:ind w:firstLine="720"/>
        <w:contextualSpacing/>
        <w:jc w:val="both"/>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 xml:space="preserve">Johnson and Johnson evolved 130 years ago and was considered the champion in over-the-counter medication and supplier of analgesics in the United States, with one hundred million users.  The corporate giant, Johnson and Johnson, generated great numbers during the fiscal year, 1982.  Tylenol had 19% of corporate profits in the first three quarters in 1982, 13% in year-to-year sales growth, 33% year-to year- profit growth, and 37% market share, outperforming other painkillers combined (Anacin, Bayer, </w:t>
      </w:r>
      <w:proofErr w:type="spellStart"/>
      <w:r w:rsidRPr="68BDFBBF">
        <w:rPr>
          <w:rFonts w:asciiTheme="majorBidi" w:hAnsiTheme="majorBidi" w:cstheme="majorBidi"/>
          <w:color w:val="000000" w:themeColor="text1"/>
          <w:sz w:val="24"/>
          <w:szCs w:val="24"/>
        </w:rPr>
        <w:t>Bufferin</w:t>
      </w:r>
      <w:proofErr w:type="spellEnd"/>
      <w:r w:rsidRPr="68BDFBBF">
        <w:rPr>
          <w:rFonts w:asciiTheme="majorBidi" w:hAnsiTheme="majorBidi" w:cstheme="majorBidi"/>
          <w:color w:val="000000" w:themeColor="text1"/>
          <w:sz w:val="24"/>
          <w:szCs w:val="24"/>
        </w:rPr>
        <w:t xml:space="preserve">, and Excedrin).  After commanding the largest share of the U.S. market during this time, in 1982 Johnson and Johnson faced a major crisis with Tylenol Extra-Strength capsules, a painkiller drug that the company was producing which led to the death of seven people in the United States (University of Florida, 2018). The seven deaths were recorded in Chicago where victims had taken the drugs to relieve pain. An investigation into what had caused the deaths indicated that 65 Milligrams of cyanide were present in Tylenol capsules (University of Florida, 2018). The cyanide that was introduced into the capsules was determined to be highly likely to cause death in humans. The cyanide had been introduced before the drugs had reached the shelves. In its defense, Johnson and Johnson indicated that the cyanide had been introduced by a malicious person. </w:t>
      </w:r>
    </w:p>
    <w:p w14:paraId="43FCA8D2" w14:textId="16174A60" w:rsidR="007D271B" w:rsidRPr="007D271B" w:rsidRDefault="68BDFBBF" w:rsidP="68BDFBBF">
      <w:pPr>
        <w:spacing w:line="480" w:lineRule="auto"/>
        <w:ind w:firstLine="720"/>
        <w:contextualSpacing/>
        <w:jc w:val="both"/>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 xml:space="preserve">As a result of the need to eliminate the cyanide-laced Tylenol capsule issue and maintain its reputation, Johnson and Johnson decided to recall all Tylenol drugs. 31 million bottles laced with cyanide were recalled (University of Florida, 2018). As a result of the </w:t>
      </w:r>
      <w:proofErr w:type="gramStart"/>
      <w:r w:rsidRPr="68BDFBBF">
        <w:rPr>
          <w:rFonts w:asciiTheme="majorBidi" w:hAnsiTheme="majorBidi" w:cstheme="majorBidi"/>
          <w:color w:val="000000" w:themeColor="text1"/>
          <w:sz w:val="24"/>
          <w:szCs w:val="24"/>
        </w:rPr>
        <w:t>recall</w:t>
      </w:r>
      <w:proofErr w:type="gramEnd"/>
      <w:r w:rsidRPr="68BDFBBF">
        <w:rPr>
          <w:rFonts w:asciiTheme="majorBidi" w:hAnsiTheme="majorBidi" w:cstheme="majorBidi"/>
          <w:color w:val="000000" w:themeColor="text1"/>
          <w:sz w:val="24"/>
          <w:szCs w:val="24"/>
        </w:rPr>
        <w:t xml:space="preserve">, Johnson and Johnson had losses in the amount of $100 million. Additional losses that the company endured included money allocated for advertising and marketing Tylenol.  </w:t>
      </w:r>
      <w:r w:rsidRPr="68BDFBBF">
        <w:rPr>
          <w:rFonts w:asciiTheme="majorBidi" w:hAnsiTheme="majorBidi" w:cstheme="majorBidi"/>
          <w:color w:val="000000" w:themeColor="text1"/>
          <w:sz w:val="24"/>
          <w:szCs w:val="24"/>
        </w:rPr>
        <w:lastRenderedPageBreak/>
        <w:t>The CEO, James Burke, decided to face the public and the media that were beginning to bring negative press to the company.  Mr. Burke introduced the “Credo Pledge” to the media which stated that the needs of the consumers will be of top priority.</w:t>
      </w:r>
    </w:p>
    <w:p w14:paraId="0092D4EC" w14:textId="77777777" w:rsidR="007D271B" w:rsidRPr="007D271B" w:rsidRDefault="3C901CF7" w:rsidP="003E79AD">
      <w:pPr>
        <w:spacing w:line="480" w:lineRule="auto"/>
        <w:ind w:firstLine="720"/>
        <w:contextualSpacing/>
        <w:jc w:val="center"/>
        <w:rPr>
          <w:rFonts w:asciiTheme="majorBidi" w:hAnsiTheme="majorBidi" w:cstheme="majorBidi"/>
          <w:b/>
          <w:bCs/>
          <w:color w:val="000000" w:themeColor="text1"/>
          <w:sz w:val="24"/>
          <w:szCs w:val="24"/>
        </w:rPr>
      </w:pPr>
      <w:r w:rsidRPr="3C901CF7">
        <w:rPr>
          <w:rFonts w:asciiTheme="majorBidi" w:hAnsiTheme="majorBidi" w:cstheme="majorBidi"/>
          <w:b/>
          <w:bCs/>
          <w:color w:val="000000" w:themeColor="text1"/>
          <w:sz w:val="24"/>
          <w:szCs w:val="24"/>
        </w:rPr>
        <w:t>Stakeholders and their Stakes</w:t>
      </w:r>
    </w:p>
    <w:p w14:paraId="69053F8B" w14:textId="747E8434" w:rsidR="007D271B" w:rsidRPr="007D271B" w:rsidRDefault="68BDFBBF" w:rsidP="68BDFBBF">
      <w:pPr>
        <w:spacing w:line="480" w:lineRule="auto"/>
        <w:ind w:firstLine="720"/>
        <w:contextualSpacing/>
        <w:jc w:val="both"/>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There are internal and external stakeholders at Johnson and Johnson. The most important key stakeholders are groups on environment, social, governance, not excluding internal and external members.  Internal stakeholders include the management of the organization, the shareholders and the employees (</w:t>
      </w:r>
      <w:proofErr w:type="spellStart"/>
      <w:r w:rsidRPr="68BDFBBF">
        <w:rPr>
          <w:rFonts w:asciiTheme="majorBidi" w:hAnsiTheme="majorBidi" w:cstheme="majorBidi"/>
          <w:color w:val="000000" w:themeColor="text1"/>
          <w:sz w:val="24"/>
          <w:szCs w:val="24"/>
        </w:rPr>
        <w:t>Slaba</w:t>
      </w:r>
      <w:proofErr w:type="spellEnd"/>
      <w:r w:rsidRPr="68BDFBBF">
        <w:rPr>
          <w:rFonts w:asciiTheme="majorBidi" w:hAnsiTheme="majorBidi" w:cstheme="majorBidi"/>
          <w:color w:val="000000" w:themeColor="text1"/>
          <w:sz w:val="24"/>
          <w:szCs w:val="24"/>
        </w:rPr>
        <w:t>, 2016). The management of the company may suffer from negative publicity. Shareholders are affected by a reduction in profits as a result of the scandal. Employees are also likely to suffer from negative reputation. External stakeholders include customers, the government, and other organizations interested in the affairs of the company (</w:t>
      </w:r>
      <w:proofErr w:type="spellStart"/>
      <w:r w:rsidRPr="68BDFBBF">
        <w:rPr>
          <w:rFonts w:asciiTheme="majorBidi" w:hAnsiTheme="majorBidi" w:cstheme="majorBidi"/>
          <w:color w:val="000000" w:themeColor="text1"/>
          <w:sz w:val="24"/>
          <w:szCs w:val="24"/>
        </w:rPr>
        <w:t>Slaba</w:t>
      </w:r>
      <w:proofErr w:type="spellEnd"/>
      <w:r w:rsidRPr="68BDFBBF">
        <w:rPr>
          <w:rFonts w:asciiTheme="majorBidi" w:hAnsiTheme="majorBidi" w:cstheme="majorBidi"/>
          <w:color w:val="000000" w:themeColor="text1"/>
          <w:sz w:val="24"/>
          <w:szCs w:val="24"/>
        </w:rPr>
        <w:t xml:space="preserve">, 2016). Customers suffer from the effects that Tylenol has had on health and life. The government must deal with the issue in accordance with the law. Other organizations such as the non-governmental ones have the duty of exposing this scandal.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86"/>
        <w:gridCol w:w="1522"/>
        <w:gridCol w:w="1377"/>
        <w:gridCol w:w="1377"/>
        <w:gridCol w:w="1301"/>
        <w:gridCol w:w="1467"/>
      </w:tblGrid>
      <w:tr w:rsidR="007D271B" w:rsidRPr="007D271B" w14:paraId="4B3C29B9" w14:textId="77777777" w:rsidTr="68BDFBBF">
        <w:tc>
          <w:tcPr>
            <w:tcW w:w="1596" w:type="dxa"/>
          </w:tcPr>
          <w:p w14:paraId="64370993" w14:textId="77777777" w:rsidR="007D271B" w:rsidRPr="007D271B" w:rsidRDefault="68BDFBBF" w:rsidP="68BDFBBF">
            <w:pPr>
              <w:spacing w:after="0" w:line="480" w:lineRule="auto"/>
              <w:contextualSpacing/>
              <w:jc w:val="center"/>
              <w:rPr>
                <w:rFonts w:asciiTheme="majorBidi" w:hAnsiTheme="majorBidi" w:cstheme="majorBidi"/>
                <w:b/>
                <w:bCs/>
                <w:color w:val="000000" w:themeColor="text1"/>
                <w:sz w:val="24"/>
                <w:szCs w:val="24"/>
              </w:rPr>
            </w:pPr>
            <w:r w:rsidRPr="68BDFBBF">
              <w:rPr>
                <w:rFonts w:asciiTheme="majorBidi" w:hAnsiTheme="majorBidi" w:cstheme="majorBidi"/>
                <w:b/>
                <w:bCs/>
                <w:color w:val="000000" w:themeColor="text1"/>
                <w:sz w:val="24"/>
                <w:szCs w:val="24"/>
              </w:rPr>
              <w:t>Stakeholders</w:t>
            </w:r>
          </w:p>
        </w:tc>
        <w:tc>
          <w:tcPr>
            <w:tcW w:w="1596" w:type="dxa"/>
          </w:tcPr>
          <w:p w14:paraId="2EE0C6A1" w14:textId="77777777" w:rsidR="007D271B" w:rsidRPr="007D271B" w:rsidRDefault="68BDFBBF" w:rsidP="68BDFBBF">
            <w:pPr>
              <w:spacing w:after="0" w:line="480" w:lineRule="auto"/>
              <w:contextualSpacing/>
              <w:jc w:val="center"/>
              <w:rPr>
                <w:rFonts w:asciiTheme="majorBidi" w:hAnsiTheme="majorBidi" w:cstheme="majorBidi"/>
                <w:b/>
                <w:bCs/>
                <w:color w:val="000000" w:themeColor="text1"/>
                <w:sz w:val="24"/>
                <w:szCs w:val="24"/>
              </w:rPr>
            </w:pPr>
            <w:r w:rsidRPr="68BDFBBF">
              <w:rPr>
                <w:rFonts w:asciiTheme="majorBidi" w:hAnsiTheme="majorBidi" w:cstheme="majorBidi"/>
                <w:b/>
                <w:bCs/>
                <w:color w:val="000000" w:themeColor="text1"/>
                <w:sz w:val="24"/>
                <w:szCs w:val="24"/>
              </w:rPr>
              <w:t>Reputation</w:t>
            </w:r>
          </w:p>
        </w:tc>
        <w:tc>
          <w:tcPr>
            <w:tcW w:w="1596" w:type="dxa"/>
          </w:tcPr>
          <w:p w14:paraId="3AF86406" w14:textId="77777777" w:rsidR="007D271B" w:rsidRPr="007D271B" w:rsidRDefault="68BDFBBF" w:rsidP="68BDFBBF">
            <w:pPr>
              <w:spacing w:after="0" w:line="480" w:lineRule="auto"/>
              <w:contextualSpacing/>
              <w:jc w:val="center"/>
              <w:rPr>
                <w:rFonts w:asciiTheme="majorBidi" w:hAnsiTheme="majorBidi" w:cstheme="majorBidi"/>
                <w:b/>
                <w:bCs/>
                <w:color w:val="000000" w:themeColor="text1"/>
                <w:sz w:val="24"/>
                <w:szCs w:val="24"/>
              </w:rPr>
            </w:pPr>
            <w:r w:rsidRPr="68BDFBBF">
              <w:rPr>
                <w:rFonts w:asciiTheme="majorBidi" w:hAnsiTheme="majorBidi" w:cstheme="majorBidi"/>
                <w:b/>
                <w:bCs/>
                <w:color w:val="000000" w:themeColor="text1"/>
                <w:sz w:val="24"/>
                <w:szCs w:val="24"/>
              </w:rPr>
              <w:t>Profits</w:t>
            </w:r>
          </w:p>
        </w:tc>
        <w:tc>
          <w:tcPr>
            <w:tcW w:w="1596" w:type="dxa"/>
          </w:tcPr>
          <w:p w14:paraId="14DE57B5" w14:textId="77777777" w:rsidR="007D271B" w:rsidRPr="007D271B" w:rsidRDefault="68BDFBBF" w:rsidP="68BDFBBF">
            <w:pPr>
              <w:spacing w:after="0" w:line="480" w:lineRule="auto"/>
              <w:contextualSpacing/>
              <w:jc w:val="center"/>
              <w:rPr>
                <w:rFonts w:asciiTheme="majorBidi" w:hAnsiTheme="majorBidi" w:cstheme="majorBidi"/>
                <w:b/>
                <w:bCs/>
                <w:color w:val="000000" w:themeColor="text1"/>
                <w:sz w:val="24"/>
                <w:szCs w:val="24"/>
              </w:rPr>
            </w:pPr>
            <w:r w:rsidRPr="68BDFBBF">
              <w:rPr>
                <w:rFonts w:asciiTheme="majorBidi" w:hAnsiTheme="majorBidi" w:cstheme="majorBidi"/>
                <w:b/>
                <w:bCs/>
                <w:color w:val="000000" w:themeColor="text1"/>
                <w:sz w:val="24"/>
                <w:szCs w:val="24"/>
              </w:rPr>
              <w:t>Health and Life</w:t>
            </w:r>
          </w:p>
        </w:tc>
        <w:tc>
          <w:tcPr>
            <w:tcW w:w="1596" w:type="dxa"/>
          </w:tcPr>
          <w:p w14:paraId="07DC3313" w14:textId="77777777" w:rsidR="007D271B" w:rsidRPr="007D271B" w:rsidRDefault="68BDFBBF" w:rsidP="68BDFBBF">
            <w:pPr>
              <w:spacing w:after="0" w:line="480" w:lineRule="auto"/>
              <w:contextualSpacing/>
              <w:rPr>
                <w:rFonts w:asciiTheme="majorBidi" w:hAnsiTheme="majorBidi" w:cstheme="majorBidi"/>
                <w:b/>
                <w:bCs/>
                <w:color w:val="000000" w:themeColor="text1"/>
                <w:sz w:val="24"/>
                <w:szCs w:val="24"/>
              </w:rPr>
            </w:pPr>
            <w:r w:rsidRPr="68BDFBBF">
              <w:rPr>
                <w:rFonts w:asciiTheme="majorBidi" w:hAnsiTheme="majorBidi" w:cstheme="majorBidi"/>
                <w:b/>
                <w:bCs/>
                <w:color w:val="000000" w:themeColor="text1"/>
                <w:sz w:val="24"/>
                <w:szCs w:val="24"/>
              </w:rPr>
              <w:t>Law</w:t>
            </w:r>
          </w:p>
        </w:tc>
        <w:tc>
          <w:tcPr>
            <w:tcW w:w="1596" w:type="dxa"/>
          </w:tcPr>
          <w:p w14:paraId="2715F7FA" w14:textId="77777777" w:rsidR="007D271B" w:rsidRPr="007D271B" w:rsidRDefault="68BDFBBF" w:rsidP="68BDFBBF">
            <w:pPr>
              <w:spacing w:after="0" w:line="480" w:lineRule="auto"/>
              <w:contextualSpacing/>
              <w:jc w:val="center"/>
              <w:rPr>
                <w:rFonts w:asciiTheme="majorBidi" w:hAnsiTheme="majorBidi" w:cstheme="majorBidi"/>
                <w:b/>
                <w:bCs/>
                <w:color w:val="000000" w:themeColor="text1"/>
                <w:sz w:val="24"/>
                <w:szCs w:val="24"/>
              </w:rPr>
            </w:pPr>
            <w:r w:rsidRPr="68BDFBBF">
              <w:rPr>
                <w:rFonts w:asciiTheme="majorBidi" w:hAnsiTheme="majorBidi" w:cstheme="majorBidi"/>
                <w:b/>
                <w:bCs/>
                <w:color w:val="000000" w:themeColor="text1"/>
                <w:sz w:val="24"/>
                <w:szCs w:val="24"/>
              </w:rPr>
              <w:t>Exposure</w:t>
            </w:r>
          </w:p>
        </w:tc>
      </w:tr>
      <w:tr w:rsidR="007D271B" w:rsidRPr="007D271B" w14:paraId="23888C0A" w14:textId="77777777" w:rsidTr="68BDFBBF">
        <w:tc>
          <w:tcPr>
            <w:tcW w:w="1596" w:type="dxa"/>
          </w:tcPr>
          <w:p w14:paraId="32264BB9"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Management</w:t>
            </w:r>
          </w:p>
        </w:tc>
        <w:tc>
          <w:tcPr>
            <w:tcW w:w="1596" w:type="dxa"/>
          </w:tcPr>
          <w:p w14:paraId="28C9ECA3"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x</w:t>
            </w:r>
          </w:p>
        </w:tc>
        <w:tc>
          <w:tcPr>
            <w:tcW w:w="1596" w:type="dxa"/>
          </w:tcPr>
          <w:p w14:paraId="672A6659"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0A37501D"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5DAB6C7B"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02EB378F"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r>
      <w:tr w:rsidR="007D271B" w:rsidRPr="007D271B" w14:paraId="2621C288" w14:textId="77777777" w:rsidTr="68BDFBBF">
        <w:tc>
          <w:tcPr>
            <w:tcW w:w="1596" w:type="dxa"/>
          </w:tcPr>
          <w:p w14:paraId="4073C664"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Shareholders</w:t>
            </w:r>
          </w:p>
        </w:tc>
        <w:tc>
          <w:tcPr>
            <w:tcW w:w="1596" w:type="dxa"/>
          </w:tcPr>
          <w:p w14:paraId="6A05A809"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05E66662"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x</w:t>
            </w:r>
          </w:p>
        </w:tc>
        <w:tc>
          <w:tcPr>
            <w:tcW w:w="1596" w:type="dxa"/>
          </w:tcPr>
          <w:p w14:paraId="5A39BBE3"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41C8F396"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72A3D3EC"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r>
      <w:tr w:rsidR="007D271B" w:rsidRPr="007D271B" w14:paraId="2A50DCF6" w14:textId="77777777" w:rsidTr="68BDFBBF">
        <w:tc>
          <w:tcPr>
            <w:tcW w:w="1596" w:type="dxa"/>
          </w:tcPr>
          <w:p w14:paraId="5223FC50"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Employees</w:t>
            </w:r>
          </w:p>
        </w:tc>
        <w:tc>
          <w:tcPr>
            <w:tcW w:w="1596" w:type="dxa"/>
          </w:tcPr>
          <w:p w14:paraId="43297084"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x</w:t>
            </w:r>
          </w:p>
        </w:tc>
        <w:tc>
          <w:tcPr>
            <w:tcW w:w="1596" w:type="dxa"/>
          </w:tcPr>
          <w:p w14:paraId="0D0B940D"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0E27B00A"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60061E4C"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44EAFD9C"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r>
      <w:tr w:rsidR="007D271B" w:rsidRPr="007D271B" w14:paraId="28112AD0" w14:textId="77777777" w:rsidTr="68BDFBBF">
        <w:tc>
          <w:tcPr>
            <w:tcW w:w="1596" w:type="dxa"/>
          </w:tcPr>
          <w:p w14:paraId="558E99F9"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Customers</w:t>
            </w:r>
          </w:p>
        </w:tc>
        <w:tc>
          <w:tcPr>
            <w:tcW w:w="1596" w:type="dxa"/>
          </w:tcPr>
          <w:p w14:paraId="4B94D5A5"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3DEEC669"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43BF0DDE"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x</w:t>
            </w:r>
          </w:p>
        </w:tc>
        <w:tc>
          <w:tcPr>
            <w:tcW w:w="1596" w:type="dxa"/>
          </w:tcPr>
          <w:p w14:paraId="3656B9AB"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45FB0818"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r>
      <w:tr w:rsidR="007D271B" w:rsidRPr="007D271B" w14:paraId="54F029A8" w14:textId="77777777" w:rsidTr="68BDFBBF">
        <w:tc>
          <w:tcPr>
            <w:tcW w:w="1596" w:type="dxa"/>
          </w:tcPr>
          <w:p w14:paraId="7548B8C9"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Government</w:t>
            </w:r>
          </w:p>
        </w:tc>
        <w:tc>
          <w:tcPr>
            <w:tcW w:w="1596" w:type="dxa"/>
          </w:tcPr>
          <w:p w14:paraId="049F31CB"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53128261"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62486C05"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7BA43DEA"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x</w:t>
            </w:r>
          </w:p>
        </w:tc>
        <w:tc>
          <w:tcPr>
            <w:tcW w:w="1596" w:type="dxa"/>
          </w:tcPr>
          <w:p w14:paraId="4101652C"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r>
      <w:tr w:rsidR="007D271B" w:rsidRPr="007D271B" w14:paraId="1A892EC6" w14:textId="77777777" w:rsidTr="68BDFBBF">
        <w:tc>
          <w:tcPr>
            <w:tcW w:w="1596" w:type="dxa"/>
          </w:tcPr>
          <w:p w14:paraId="0383E33C"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Organizations</w:t>
            </w:r>
          </w:p>
        </w:tc>
        <w:tc>
          <w:tcPr>
            <w:tcW w:w="1596" w:type="dxa"/>
          </w:tcPr>
          <w:p w14:paraId="4B99056E"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1299C43A"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4DDBEF00"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3461D779" w14:textId="77777777" w:rsidR="007D271B" w:rsidRPr="007D271B" w:rsidRDefault="007D271B" w:rsidP="68BDFBBF">
            <w:pPr>
              <w:spacing w:after="0" w:line="480" w:lineRule="auto"/>
              <w:contextualSpacing/>
              <w:jc w:val="center"/>
              <w:rPr>
                <w:rFonts w:asciiTheme="majorBidi" w:hAnsiTheme="majorBidi" w:cstheme="majorBidi"/>
                <w:color w:val="000000" w:themeColor="text1"/>
                <w:sz w:val="24"/>
                <w:szCs w:val="24"/>
              </w:rPr>
            </w:pPr>
          </w:p>
        </w:tc>
        <w:tc>
          <w:tcPr>
            <w:tcW w:w="1596" w:type="dxa"/>
          </w:tcPr>
          <w:p w14:paraId="61FBD35E"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x</w:t>
            </w:r>
          </w:p>
        </w:tc>
      </w:tr>
    </w:tbl>
    <w:p w14:paraId="7BE6AA64" w14:textId="0D87D2F3" w:rsidR="007D271B" w:rsidRPr="007D271B" w:rsidRDefault="3C901CF7" w:rsidP="003E79AD">
      <w:pPr>
        <w:spacing w:line="480" w:lineRule="auto"/>
        <w:contextualSpacing/>
        <w:jc w:val="center"/>
        <w:rPr>
          <w:rFonts w:asciiTheme="majorBidi" w:hAnsiTheme="majorBidi" w:cstheme="majorBidi"/>
          <w:b/>
          <w:bCs/>
          <w:color w:val="000000" w:themeColor="text1"/>
          <w:sz w:val="24"/>
          <w:szCs w:val="24"/>
        </w:rPr>
      </w:pPr>
      <w:r w:rsidRPr="3C901CF7">
        <w:rPr>
          <w:rFonts w:asciiTheme="majorBidi" w:hAnsiTheme="majorBidi" w:cstheme="majorBidi"/>
          <w:b/>
          <w:bCs/>
          <w:color w:val="000000" w:themeColor="text1"/>
          <w:sz w:val="24"/>
          <w:szCs w:val="24"/>
        </w:rPr>
        <w:lastRenderedPageBreak/>
        <w:t>Dilemma/ Issue</w:t>
      </w:r>
    </w:p>
    <w:p w14:paraId="0683FD77" w14:textId="05E7D49B" w:rsidR="007D271B" w:rsidRPr="007D271B" w:rsidRDefault="68BDFBBF" w:rsidP="68BDFBBF">
      <w:pPr>
        <w:spacing w:line="480" w:lineRule="auto"/>
        <w:ind w:firstLine="720"/>
        <w:contextualSpacing/>
        <w:jc w:val="both"/>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Johnson and Johnson were faced with the task of proving that it had not been involved in the production of Tylenol that contained cyanide. The cyanide introduced on the market had led to the death of seven people. The company was faced with a dilemma of 24-hour negative electronic media. It had the option of refusing to acknowledge that it had been involved in the production of Tylenol laced with cyanide and battle all the court cases and the media that followed or find ways of dealing with the issue that had already ruined its reputation. Immediately, following the discovery of the issue, Johnson and Johnson formed a seven-member strategy team. The team's goal and objective were to find out “How do we protect the people?</w:t>
      </w:r>
      <w:proofErr w:type="gramStart"/>
      <w:r w:rsidRPr="68BDFBBF">
        <w:rPr>
          <w:rFonts w:asciiTheme="majorBidi" w:hAnsiTheme="majorBidi" w:cstheme="majorBidi"/>
          <w:color w:val="000000" w:themeColor="text1"/>
          <w:sz w:val="24"/>
          <w:szCs w:val="24"/>
        </w:rPr>
        <w:t>”.</w:t>
      </w:r>
      <w:proofErr w:type="gramEnd"/>
      <w:r w:rsidRPr="68BDFBBF">
        <w:rPr>
          <w:rFonts w:asciiTheme="majorBidi" w:hAnsiTheme="majorBidi" w:cstheme="majorBidi"/>
          <w:color w:val="000000" w:themeColor="text1"/>
          <w:sz w:val="24"/>
          <w:szCs w:val="24"/>
        </w:rPr>
        <w:t xml:space="preserve">  Second, “How do we save this product?”  Thereafter, Mr. Burke, CEO, alerted the consumers throughout the country not to consume Tylenol until a full investigation can determine safety of the drug.  Yes, Mary Kellerman, a 12-year-old girl died in Chicago in September. Adam Janus and two of his family members died on the same day. Three more people died later on. These deaths led to uproar in the media and Johnson and Johnson was forced to take an immediate action to salvage the crisis. </w:t>
      </w:r>
    </w:p>
    <w:p w14:paraId="761E1FAD" w14:textId="28D290E6" w:rsidR="007D271B" w:rsidRPr="007D271B" w:rsidRDefault="68BDFBBF" w:rsidP="68BDFBBF">
      <w:pPr>
        <w:spacing w:line="480" w:lineRule="auto"/>
        <w:ind w:firstLine="720"/>
        <w:contextualSpacing/>
        <w:jc w:val="both"/>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 xml:space="preserve">Johnson and Johnson decided to recall all the Tylenol products that it had supplied on the market. It received a loss in excess of $100 million from this recall (IBS Center for Management Research, 2018). Johnson and Johnson decided to take this action despite the fact that it had proven that it was not involved in the production of the contaminated drugs. To release tensions with consumers, Johnson and Johnson offered to exchange all the capsules that it had produced with tablets. Therefore, consumers who had acquired the product still had something to use. The company suffered from a negative reputation. </w:t>
      </w:r>
      <w:r w:rsidRPr="68BDFBBF">
        <w:rPr>
          <w:rFonts w:asciiTheme="majorBidi" w:hAnsiTheme="majorBidi" w:cstheme="majorBidi"/>
          <w:color w:val="000000" w:themeColor="text1"/>
          <w:sz w:val="24"/>
          <w:szCs w:val="24"/>
        </w:rPr>
        <w:lastRenderedPageBreak/>
        <w:t xml:space="preserve">Statistics indicate that Johnson and Johnson loss up-to $1.24 billion due to negative publicity (IBS Center for Management Research, 2018). The company also experienced a drop in the cost of shares. The shares dropped by over 70% by the end of that financial year. </w:t>
      </w:r>
    </w:p>
    <w:p w14:paraId="3795BD8F" w14:textId="73F6351A" w:rsidR="007D271B" w:rsidRDefault="3C901CF7" w:rsidP="3C901CF7">
      <w:pPr>
        <w:spacing w:line="480" w:lineRule="auto"/>
        <w:ind w:firstLine="720"/>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 xml:space="preserve">Johnson and Johnson realized that confronting the problem head-on is the best choice at the time.  As a result of the actions of Johnson and Johnson in dealing with this crisis and not refraining from being socially and ethically responsible, it began to gain back a positive reputation from the public. It received positive comments from the consumers and the government. However, in 1986 after the company had rebuilt its reputation, it faced another scandal related to the drug in which a woman died after taking the same drug (IBS Center for Management Research, 2018). The company was forced to recall all the Tylenol that was on the market. More deaths were reported in the following years as a result of the use of this drug. Over the years, the company has built its reputation and gained a large share of the market. This scandal defined the company’s ethical principles. </w:t>
      </w:r>
    </w:p>
    <w:p w14:paraId="47601903" w14:textId="77777777" w:rsidR="003E79AD" w:rsidRPr="007D271B" w:rsidRDefault="003E79AD" w:rsidP="3C901CF7">
      <w:pPr>
        <w:spacing w:line="480" w:lineRule="auto"/>
        <w:ind w:firstLine="720"/>
        <w:contextualSpacing/>
        <w:jc w:val="both"/>
        <w:rPr>
          <w:rFonts w:asciiTheme="majorBidi" w:hAnsiTheme="majorBidi" w:cstheme="majorBidi"/>
          <w:color w:val="000000" w:themeColor="text1"/>
          <w:sz w:val="24"/>
          <w:szCs w:val="24"/>
        </w:rPr>
      </w:pPr>
    </w:p>
    <w:p w14:paraId="6DFA76E3" w14:textId="77777777" w:rsidR="007D271B" w:rsidRPr="007D271B" w:rsidRDefault="3C901CF7" w:rsidP="003E79AD">
      <w:pPr>
        <w:spacing w:line="480" w:lineRule="auto"/>
        <w:ind w:firstLine="720"/>
        <w:contextualSpacing/>
        <w:jc w:val="center"/>
        <w:rPr>
          <w:rFonts w:asciiTheme="majorBidi" w:hAnsiTheme="majorBidi" w:cstheme="majorBidi"/>
          <w:b/>
          <w:bCs/>
          <w:color w:val="000000" w:themeColor="text1"/>
          <w:sz w:val="24"/>
          <w:szCs w:val="24"/>
        </w:rPr>
      </w:pPr>
      <w:r w:rsidRPr="3C901CF7">
        <w:rPr>
          <w:rFonts w:asciiTheme="majorBidi" w:hAnsiTheme="majorBidi" w:cstheme="majorBidi"/>
          <w:b/>
          <w:bCs/>
          <w:color w:val="000000" w:themeColor="text1"/>
          <w:sz w:val="24"/>
          <w:szCs w:val="24"/>
        </w:rPr>
        <w:t>The Action of the Management</w:t>
      </w:r>
    </w:p>
    <w:p w14:paraId="7EAC3BA9" w14:textId="22FBB57F" w:rsidR="007D271B" w:rsidRDefault="3C901CF7" w:rsidP="3C901CF7">
      <w:pPr>
        <w:spacing w:line="480" w:lineRule="auto"/>
        <w:ind w:firstLine="720"/>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 xml:space="preserve">The management at Johnson and Johnson decided to take action as a result of the negative publicity that it had received. The first measure was to warn the public about the dangers of taking this drug (University of Florida, 2018). Johnson and Johnson used all forms of advertisement to ensure that this message reached the largest number of people as possible. Johnson and Johnson contracted its subsidiary, McNeil Consumer Products to recall all the Tylenol products that were already on the market (University of Florida, 2018). The company ensured that all products across the country were recalled. The </w:t>
      </w:r>
      <w:r w:rsidRPr="3C901CF7">
        <w:rPr>
          <w:rFonts w:asciiTheme="majorBidi" w:hAnsiTheme="majorBidi" w:cstheme="majorBidi"/>
          <w:color w:val="000000" w:themeColor="text1"/>
          <w:sz w:val="24"/>
          <w:szCs w:val="24"/>
        </w:rPr>
        <w:lastRenderedPageBreak/>
        <w:t xml:space="preserve">management of the company did this despite being aware of the losses that it would endure. The management of the company also stopped the advertisements that were going on about the product. The management of the company was interested in public safety and as such gained a positive reputation. However, Johnson and Johnson continued with the production and distribution of Tylenol in the following years. A year later, when a woman died from consuming Tylenol laced with cyanide, the management of the company decided to remove the product permanently from the market. </w:t>
      </w:r>
    </w:p>
    <w:p w14:paraId="2D6E9BEF" w14:textId="77777777" w:rsidR="003E79AD" w:rsidRPr="007D271B" w:rsidRDefault="003E79AD" w:rsidP="3C901CF7">
      <w:pPr>
        <w:spacing w:line="480" w:lineRule="auto"/>
        <w:ind w:firstLine="720"/>
        <w:contextualSpacing/>
        <w:jc w:val="both"/>
        <w:rPr>
          <w:rFonts w:asciiTheme="majorBidi" w:hAnsiTheme="majorBidi" w:cstheme="majorBidi"/>
          <w:color w:val="000000" w:themeColor="text1"/>
          <w:sz w:val="24"/>
          <w:szCs w:val="24"/>
        </w:rPr>
      </w:pPr>
    </w:p>
    <w:p w14:paraId="7B392BA9" w14:textId="77777777" w:rsidR="007D271B" w:rsidRPr="007D271B" w:rsidRDefault="3C901CF7" w:rsidP="003E79AD">
      <w:pPr>
        <w:spacing w:line="480" w:lineRule="auto"/>
        <w:ind w:firstLine="720"/>
        <w:contextualSpacing/>
        <w:jc w:val="center"/>
        <w:rPr>
          <w:rFonts w:asciiTheme="majorBidi" w:hAnsiTheme="majorBidi" w:cstheme="majorBidi"/>
          <w:b/>
          <w:bCs/>
          <w:color w:val="000000" w:themeColor="text1"/>
          <w:sz w:val="24"/>
          <w:szCs w:val="24"/>
        </w:rPr>
      </w:pPr>
      <w:r w:rsidRPr="3C901CF7">
        <w:rPr>
          <w:rFonts w:asciiTheme="majorBidi" w:hAnsiTheme="majorBidi" w:cstheme="majorBidi"/>
          <w:b/>
          <w:bCs/>
          <w:color w:val="000000" w:themeColor="text1"/>
          <w:sz w:val="24"/>
          <w:szCs w:val="24"/>
        </w:rPr>
        <w:t>Cost/ Benefit Analysis of Management’s Action</w:t>
      </w:r>
    </w:p>
    <w:p w14:paraId="3ECD0F1E" w14:textId="7E357680" w:rsidR="007D271B" w:rsidRPr="007D271B" w:rsidRDefault="68BDFBBF" w:rsidP="68BDFBBF">
      <w:pPr>
        <w:spacing w:line="480" w:lineRule="auto"/>
        <w:ind w:firstLine="720"/>
        <w:contextualSpacing/>
        <w:jc w:val="both"/>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The actions of Johnson and Johnson had a positive impact on the stakeholders. The management of the organization regained its reputation (</w:t>
      </w:r>
      <w:proofErr w:type="spellStart"/>
      <w:r w:rsidRPr="68BDFBBF">
        <w:rPr>
          <w:rFonts w:asciiTheme="majorBidi" w:hAnsiTheme="majorBidi" w:cstheme="majorBidi"/>
          <w:color w:val="000000" w:themeColor="text1"/>
          <w:sz w:val="24"/>
          <w:szCs w:val="24"/>
        </w:rPr>
        <w:t>Eaddy</w:t>
      </w:r>
      <w:proofErr w:type="spellEnd"/>
      <w:r w:rsidRPr="68BDFBBF">
        <w:rPr>
          <w:rFonts w:asciiTheme="majorBidi" w:hAnsiTheme="majorBidi" w:cstheme="majorBidi"/>
          <w:color w:val="000000" w:themeColor="text1"/>
          <w:sz w:val="24"/>
          <w:szCs w:val="24"/>
        </w:rPr>
        <w:t>, 2012). By permanently removing this product from the market, the management of Johnson and Johnson demonstrated their ability to stick to the mission, vision, and “Credo” of the company. However, the company received huge losses in the recall process. In the long run, after gaining its reputation, the profits of the company returned. The cost of the shares also increased. As a result of the positive advances to correct the problem, the shareholders regained back their shares and profits. The employees of the organization gained a positive reputation after the action of management. The consumers of the company benefitted from the actions of management (</w:t>
      </w:r>
      <w:proofErr w:type="spellStart"/>
      <w:r w:rsidRPr="68BDFBBF">
        <w:rPr>
          <w:rFonts w:asciiTheme="majorBidi" w:hAnsiTheme="majorBidi" w:cstheme="majorBidi"/>
          <w:color w:val="000000" w:themeColor="text1"/>
          <w:sz w:val="24"/>
          <w:szCs w:val="24"/>
        </w:rPr>
        <w:t>Eaddy</w:t>
      </w:r>
      <w:proofErr w:type="spellEnd"/>
      <w:r w:rsidRPr="68BDFBBF">
        <w:rPr>
          <w:rFonts w:asciiTheme="majorBidi" w:hAnsiTheme="majorBidi" w:cstheme="majorBidi"/>
          <w:color w:val="000000" w:themeColor="text1"/>
          <w:sz w:val="24"/>
          <w:szCs w:val="24"/>
        </w:rPr>
        <w:t xml:space="preserve">, 2012). The drug that caused death was permanently removed from the market. The government benefitted from the fact that it did not need to initiate court proceedings against the company. Non-governmental organizations benefitted from the action of the management. The management of the company </w:t>
      </w:r>
      <w:r w:rsidRPr="68BDFBBF">
        <w:rPr>
          <w:rFonts w:asciiTheme="majorBidi" w:hAnsiTheme="majorBidi" w:cstheme="majorBidi"/>
          <w:color w:val="000000" w:themeColor="text1"/>
          <w:sz w:val="24"/>
          <w:szCs w:val="24"/>
        </w:rPr>
        <w:lastRenderedPageBreak/>
        <w:t xml:space="preserve">demonstrated that its first priority was the health and safety of the consumers.  The cost/ benefit analysis of management’s action is displayed in the chart below: </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33"/>
        <w:gridCol w:w="2822"/>
        <w:gridCol w:w="2875"/>
      </w:tblGrid>
      <w:tr w:rsidR="3C901CF7" w14:paraId="1E32C23F" w14:textId="77777777" w:rsidTr="68BDFBBF">
        <w:tc>
          <w:tcPr>
            <w:tcW w:w="2933" w:type="dxa"/>
          </w:tcPr>
          <w:p w14:paraId="774D286D" w14:textId="7410C14D" w:rsidR="3C901CF7" w:rsidRDefault="3C901CF7" w:rsidP="3C901CF7">
            <w:pPr>
              <w:spacing w:line="480" w:lineRule="auto"/>
              <w:jc w:val="both"/>
              <w:rPr>
                <w:rFonts w:asciiTheme="majorBidi" w:hAnsiTheme="majorBidi" w:cstheme="majorBidi"/>
                <w:color w:val="000000" w:themeColor="text1"/>
                <w:sz w:val="24"/>
                <w:szCs w:val="24"/>
              </w:rPr>
            </w:pPr>
          </w:p>
        </w:tc>
        <w:tc>
          <w:tcPr>
            <w:tcW w:w="2822" w:type="dxa"/>
          </w:tcPr>
          <w:p w14:paraId="5A81AAFE" w14:textId="1666F912" w:rsidR="3C901CF7" w:rsidRDefault="3C901CF7" w:rsidP="3C901CF7">
            <w:pPr>
              <w:spacing w:line="480" w:lineRule="auto"/>
              <w:jc w:val="both"/>
              <w:rPr>
                <w:rFonts w:asciiTheme="majorBidi" w:hAnsiTheme="majorBidi" w:cstheme="majorBidi"/>
                <w:color w:val="000000" w:themeColor="text1"/>
                <w:sz w:val="24"/>
                <w:szCs w:val="24"/>
              </w:rPr>
            </w:pPr>
          </w:p>
        </w:tc>
        <w:tc>
          <w:tcPr>
            <w:tcW w:w="2875" w:type="dxa"/>
          </w:tcPr>
          <w:p w14:paraId="6F5DB122" w14:textId="7D8A6180" w:rsidR="3C901CF7" w:rsidRDefault="3C901CF7" w:rsidP="3C901CF7">
            <w:pPr>
              <w:spacing w:line="480" w:lineRule="auto"/>
              <w:jc w:val="both"/>
              <w:rPr>
                <w:rFonts w:asciiTheme="majorBidi" w:hAnsiTheme="majorBidi" w:cstheme="majorBidi"/>
                <w:color w:val="000000" w:themeColor="text1"/>
                <w:sz w:val="24"/>
                <w:szCs w:val="24"/>
              </w:rPr>
            </w:pPr>
          </w:p>
        </w:tc>
      </w:tr>
      <w:tr w:rsidR="007D271B" w:rsidRPr="007D271B" w14:paraId="0FC69892" w14:textId="77777777" w:rsidTr="68BDFBBF">
        <w:tc>
          <w:tcPr>
            <w:tcW w:w="3192" w:type="dxa"/>
          </w:tcPr>
          <w:p w14:paraId="1E31C6C6"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Stakeholders</w:t>
            </w:r>
          </w:p>
        </w:tc>
        <w:tc>
          <w:tcPr>
            <w:tcW w:w="3192" w:type="dxa"/>
          </w:tcPr>
          <w:p w14:paraId="0FB2D987"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 xml:space="preserve">Cost </w:t>
            </w:r>
          </w:p>
        </w:tc>
        <w:tc>
          <w:tcPr>
            <w:tcW w:w="3192" w:type="dxa"/>
          </w:tcPr>
          <w:p w14:paraId="4ACB3FAE"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Benefit</w:t>
            </w:r>
          </w:p>
        </w:tc>
      </w:tr>
      <w:tr w:rsidR="007D271B" w:rsidRPr="007D271B" w14:paraId="5549E6FE" w14:textId="77777777" w:rsidTr="68BDFBBF">
        <w:tc>
          <w:tcPr>
            <w:tcW w:w="3192" w:type="dxa"/>
          </w:tcPr>
          <w:p w14:paraId="2481CB58"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Management</w:t>
            </w:r>
          </w:p>
        </w:tc>
        <w:tc>
          <w:tcPr>
            <w:tcW w:w="3192" w:type="dxa"/>
          </w:tcPr>
          <w:p w14:paraId="6C6CDDD7"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Losses from recall</w:t>
            </w:r>
          </w:p>
        </w:tc>
        <w:tc>
          <w:tcPr>
            <w:tcW w:w="3192" w:type="dxa"/>
          </w:tcPr>
          <w:p w14:paraId="3BB09C3C"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Positive reputation</w:t>
            </w:r>
          </w:p>
        </w:tc>
      </w:tr>
      <w:tr w:rsidR="007D271B" w:rsidRPr="007D271B" w14:paraId="3CC4A83F" w14:textId="77777777" w:rsidTr="68BDFBBF">
        <w:tc>
          <w:tcPr>
            <w:tcW w:w="3192" w:type="dxa"/>
          </w:tcPr>
          <w:p w14:paraId="2A036CF2"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Shareholders</w:t>
            </w:r>
          </w:p>
        </w:tc>
        <w:tc>
          <w:tcPr>
            <w:tcW w:w="3192" w:type="dxa"/>
          </w:tcPr>
          <w:p w14:paraId="596311BD"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Losses from recall</w:t>
            </w:r>
          </w:p>
        </w:tc>
        <w:tc>
          <w:tcPr>
            <w:tcW w:w="3192" w:type="dxa"/>
          </w:tcPr>
          <w:p w14:paraId="6102A8F4"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Regain of shares and profits</w:t>
            </w:r>
          </w:p>
        </w:tc>
      </w:tr>
      <w:tr w:rsidR="007D271B" w:rsidRPr="007D271B" w14:paraId="3D08D4D7" w14:textId="77777777" w:rsidTr="68BDFBBF">
        <w:tc>
          <w:tcPr>
            <w:tcW w:w="3192" w:type="dxa"/>
          </w:tcPr>
          <w:p w14:paraId="223D3409"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Employees</w:t>
            </w:r>
          </w:p>
        </w:tc>
        <w:tc>
          <w:tcPr>
            <w:tcW w:w="3192" w:type="dxa"/>
          </w:tcPr>
          <w:p w14:paraId="48C9DA01"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None</w:t>
            </w:r>
          </w:p>
        </w:tc>
        <w:tc>
          <w:tcPr>
            <w:tcW w:w="3192" w:type="dxa"/>
          </w:tcPr>
          <w:p w14:paraId="2322DE7B"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Positive reputation</w:t>
            </w:r>
          </w:p>
        </w:tc>
      </w:tr>
      <w:tr w:rsidR="007D271B" w:rsidRPr="007D271B" w14:paraId="68FF9690" w14:textId="77777777" w:rsidTr="68BDFBBF">
        <w:tc>
          <w:tcPr>
            <w:tcW w:w="3192" w:type="dxa"/>
          </w:tcPr>
          <w:p w14:paraId="7279790F"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Customers</w:t>
            </w:r>
          </w:p>
        </w:tc>
        <w:tc>
          <w:tcPr>
            <w:tcW w:w="3192" w:type="dxa"/>
          </w:tcPr>
          <w:p w14:paraId="3161A9A1"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None</w:t>
            </w:r>
          </w:p>
        </w:tc>
        <w:tc>
          <w:tcPr>
            <w:tcW w:w="3192" w:type="dxa"/>
          </w:tcPr>
          <w:p w14:paraId="3CD508E2"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Health and safety</w:t>
            </w:r>
          </w:p>
        </w:tc>
      </w:tr>
      <w:tr w:rsidR="007D271B" w:rsidRPr="007D271B" w14:paraId="4DC8B9A5" w14:textId="77777777" w:rsidTr="68BDFBBF">
        <w:tc>
          <w:tcPr>
            <w:tcW w:w="3192" w:type="dxa"/>
          </w:tcPr>
          <w:p w14:paraId="2D97041D"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Government</w:t>
            </w:r>
          </w:p>
        </w:tc>
        <w:tc>
          <w:tcPr>
            <w:tcW w:w="3192" w:type="dxa"/>
          </w:tcPr>
          <w:p w14:paraId="11BE731D"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None</w:t>
            </w:r>
          </w:p>
        </w:tc>
        <w:tc>
          <w:tcPr>
            <w:tcW w:w="3192" w:type="dxa"/>
          </w:tcPr>
          <w:p w14:paraId="4F0D76E5"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Law followed</w:t>
            </w:r>
          </w:p>
        </w:tc>
      </w:tr>
      <w:tr w:rsidR="007D271B" w:rsidRPr="007D271B" w14:paraId="0D97F872" w14:textId="77777777" w:rsidTr="68BDFBBF">
        <w:tc>
          <w:tcPr>
            <w:tcW w:w="3192" w:type="dxa"/>
          </w:tcPr>
          <w:p w14:paraId="0CEBC415"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Organizations</w:t>
            </w:r>
          </w:p>
        </w:tc>
        <w:tc>
          <w:tcPr>
            <w:tcW w:w="3192" w:type="dxa"/>
          </w:tcPr>
          <w:p w14:paraId="729EF84A"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None</w:t>
            </w:r>
          </w:p>
        </w:tc>
        <w:tc>
          <w:tcPr>
            <w:tcW w:w="3192" w:type="dxa"/>
          </w:tcPr>
          <w:p w14:paraId="008FCF47"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Consumer health and safety</w:t>
            </w:r>
          </w:p>
        </w:tc>
      </w:tr>
    </w:tbl>
    <w:p w14:paraId="6CB6753E" w14:textId="77777777" w:rsidR="003E79AD" w:rsidRDefault="003E79AD" w:rsidP="3C901CF7">
      <w:pPr>
        <w:spacing w:line="480" w:lineRule="auto"/>
        <w:ind w:firstLine="720"/>
        <w:contextualSpacing/>
        <w:jc w:val="both"/>
        <w:rPr>
          <w:rFonts w:asciiTheme="majorBidi" w:hAnsiTheme="majorBidi" w:cstheme="majorBidi"/>
          <w:b/>
          <w:bCs/>
          <w:color w:val="000000" w:themeColor="text1"/>
          <w:sz w:val="24"/>
          <w:szCs w:val="24"/>
        </w:rPr>
      </w:pPr>
    </w:p>
    <w:p w14:paraId="506F06AB" w14:textId="2CFFCF0A" w:rsidR="007D271B" w:rsidRPr="007D271B" w:rsidRDefault="3C901CF7" w:rsidP="003E79AD">
      <w:pPr>
        <w:spacing w:line="480" w:lineRule="auto"/>
        <w:ind w:firstLine="720"/>
        <w:contextualSpacing/>
        <w:jc w:val="center"/>
        <w:rPr>
          <w:rFonts w:asciiTheme="majorBidi" w:hAnsiTheme="majorBidi" w:cstheme="majorBidi"/>
          <w:b/>
          <w:bCs/>
          <w:color w:val="000000" w:themeColor="text1"/>
          <w:sz w:val="24"/>
          <w:szCs w:val="24"/>
        </w:rPr>
      </w:pPr>
      <w:r w:rsidRPr="3C901CF7">
        <w:rPr>
          <w:rFonts w:asciiTheme="majorBidi" w:hAnsiTheme="majorBidi" w:cstheme="majorBidi"/>
          <w:b/>
          <w:bCs/>
          <w:color w:val="000000" w:themeColor="text1"/>
          <w:sz w:val="24"/>
          <w:szCs w:val="24"/>
        </w:rPr>
        <w:t>Ethical Principle to Review Cost/Benefit Analysis</w:t>
      </w:r>
    </w:p>
    <w:p w14:paraId="71EF87E1" w14:textId="7ED26FAD" w:rsidR="007D271B" w:rsidRPr="007D271B" w:rsidRDefault="68BDFBBF" w:rsidP="68BDFBBF">
      <w:pPr>
        <w:spacing w:line="480" w:lineRule="auto"/>
        <w:ind w:firstLine="720"/>
        <w:contextualSpacing/>
        <w:jc w:val="both"/>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Different ethical principles can be applied in reviewing the cost/ benefit analysis of the actions taken by management. Organizations have the responsibility of being honest in their dealings with consumers and also following the laws (</w:t>
      </w:r>
      <w:proofErr w:type="spellStart"/>
      <w:r w:rsidRPr="68BDFBBF">
        <w:rPr>
          <w:rFonts w:asciiTheme="majorBidi" w:hAnsiTheme="majorBidi" w:cstheme="majorBidi"/>
          <w:color w:val="000000" w:themeColor="text1"/>
          <w:sz w:val="24"/>
          <w:szCs w:val="24"/>
        </w:rPr>
        <w:t>Ezigbo</w:t>
      </w:r>
      <w:proofErr w:type="spellEnd"/>
      <w:r w:rsidRPr="68BDFBBF">
        <w:rPr>
          <w:rFonts w:asciiTheme="majorBidi" w:hAnsiTheme="majorBidi" w:cstheme="majorBidi"/>
          <w:color w:val="000000" w:themeColor="text1"/>
          <w:sz w:val="24"/>
          <w:szCs w:val="24"/>
        </w:rPr>
        <w:t>, 2013). Johnson and Johnson demonstrated honesty when it proved that it had not been involved in the production of these cyanide-laced drugs by taking an active measure to remove, completely, from the hands of consumers. Johnson and Johnson handled the matter ethically and openly and in accordance with the law. Organizations are expected to build trust with stakeholders (</w:t>
      </w:r>
      <w:proofErr w:type="spellStart"/>
      <w:r w:rsidRPr="68BDFBBF">
        <w:rPr>
          <w:rFonts w:asciiTheme="majorBidi" w:hAnsiTheme="majorBidi" w:cstheme="majorBidi"/>
          <w:color w:val="000000" w:themeColor="text1"/>
          <w:sz w:val="24"/>
          <w:szCs w:val="24"/>
        </w:rPr>
        <w:t>Ezigbo</w:t>
      </w:r>
      <w:proofErr w:type="spellEnd"/>
      <w:r w:rsidRPr="68BDFBBF">
        <w:rPr>
          <w:rFonts w:asciiTheme="majorBidi" w:hAnsiTheme="majorBidi" w:cstheme="majorBidi"/>
          <w:color w:val="000000" w:themeColor="text1"/>
          <w:sz w:val="24"/>
          <w:szCs w:val="24"/>
        </w:rPr>
        <w:t xml:space="preserve">, 2013). By handling the issue head-on, the right way, Johnson and Johnson developed trust with all its stakeholders. It developed trust with the </w:t>
      </w:r>
      <w:r w:rsidRPr="68BDFBBF">
        <w:rPr>
          <w:rFonts w:asciiTheme="majorBidi" w:hAnsiTheme="majorBidi" w:cstheme="majorBidi"/>
          <w:color w:val="000000" w:themeColor="text1"/>
          <w:sz w:val="24"/>
          <w:szCs w:val="24"/>
        </w:rPr>
        <w:lastRenderedPageBreak/>
        <w:t>management, shareholders, employees, the government, customers, and organizations. It rebuilt trust that had already been broken. The company was truthful with the stakeholders. It acknowledged that indeed there was contaminated Tylenol on the market. It, immediately, used advertisements to warn consumers of this product. Organizations have the duty of ensuring product quality and safety (</w:t>
      </w:r>
      <w:proofErr w:type="spellStart"/>
      <w:r w:rsidRPr="68BDFBBF">
        <w:rPr>
          <w:rFonts w:asciiTheme="majorBidi" w:hAnsiTheme="majorBidi" w:cstheme="majorBidi"/>
          <w:color w:val="000000" w:themeColor="text1"/>
          <w:sz w:val="24"/>
          <w:szCs w:val="24"/>
        </w:rPr>
        <w:t>Ezigbo</w:t>
      </w:r>
      <w:proofErr w:type="spellEnd"/>
      <w:r w:rsidRPr="68BDFBBF">
        <w:rPr>
          <w:rFonts w:asciiTheme="majorBidi" w:hAnsiTheme="majorBidi" w:cstheme="majorBidi"/>
          <w:color w:val="000000" w:themeColor="text1"/>
          <w:sz w:val="24"/>
          <w:szCs w:val="24"/>
        </w:rPr>
        <w:t xml:space="preserve">, 2013). After the company had been made aware of the cyanide-laced drug on the market, it removed the product from the market deeming it unsafe for use. After reintroducing the product in the market, another woman died and Johnson and Johnson decided to remove the product permanently from the market. </w:t>
      </w:r>
    </w:p>
    <w:p w14:paraId="41241991" w14:textId="77777777" w:rsidR="007D271B" w:rsidRPr="007D271B" w:rsidRDefault="3C901CF7" w:rsidP="003E79AD">
      <w:pPr>
        <w:spacing w:line="480" w:lineRule="auto"/>
        <w:ind w:firstLine="720"/>
        <w:contextualSpacing/>
        <w:jc w:val="center"/>
        <w:rPr>
          <w:rFonts w:asciiTheme="majorBidi" w:hAnsiTheme="majorBidi" w:cstheme="majorBidi"/>
          <w:b/>
          <w:bCs/>
          <w:color w:val="000000" w:themeColor="text1"/>
          <w:sz w:val="24"/>
          <w:szCs w:val="24"/>
        </w:rPr>
      </w:pPr>
      <w:r w:rsidRPr="3C901CF7">
        <w:rPr>
          <w:rFonts w:asciiTheme="majorBidi" w:hAnsiTheme="majorBidi" w:cstheme="majorBidi"/>
          <w:b/>
          <w:bCs/>
          <w:color w:val="000000" w:themeColor="text1"/>
          <w:sz w:val="24"/>
          <w:szCs w:val="24"/>
        </w:rPr>
        <w:t>Alternatives Open to Management</w:t>
      </w:r>
    </w:p>
    <w:p w14:paraId="0A17633F" w14:textId="7FF8E2C2" w:rsidR="007D271B" w:rsidRDefault="3C901CF7" w:rsidP="3C901CF7">
      <w:pPr>
        <w:spacing w:line="480" w:lineRule="auto"/>
        <w:ind w:firstLine="720"/>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 xml:space="preserve">There are alternative options that the management team of Johnson and Johnson could have taken. The company concluded that some Tylenol products on the shelves of supermarkets were laced with cyanide.  J&amp;J could have been dishonest and stated that they are unaware of laced cyanide Tylenol capsules in production or on stores shelves (Gallardo, 2016). Medical practitioners and consumers had indicated that they were not aware of what was contained in the drug or its side effects. If this information had been made public, the consumers and the practitioners would have detected the side effect that resulted from the cyanide and reported it early to reduce the number of deaths. The second alternative course of action was for the company to investigate the individual behind this issue (Gallardo, 2016). The company had indicated that it was not aware of the person that had introduced the cyanide into the product. It is the duty of the company to investigate this since it was the producer of the product. By investigating and arresting the person that was involved in the scandal, the company would have quickly regained the trust of the consumers. The </w:t>
      </w:r>
      <w:r w:rsidRPr="3C901CF7">
        <w:rPr>
          <w:rFonts w:asciiTheme="majorBidi" w:hAnsiTheme="majorBidi" w:cstheme="majorBidi"/>
          <w:color w:val="000000" w:themeColor="text1"/>
          <w:sz w:val="24"/>
          <w:szCs w:val="24"/>
        </w:rPr>
        <w:lastRenderedPageBreak/>
        <w:t xml:space="preserve">company could also go ahead and investigate all the employees that were involved in the production of this drug and completely clear its name. Another alternative was for the company to completely do away with the brand, by permanently removing the product, which would eliminate the problem. </w:t>
      </w:r>
    </w:p>
    <w:p w14:paraId="0A2031ED" w14:textId="77777777" w:rsidR="003E79AD" w:rsidRPr="007D271B" w:rsidRDefault="003E79AD" w:rsidP="3C901CF7">
      <w:pPr>
        <w:spacing w:line="480" w:lineRule="auto"/>
        <w:ind w:firstLine="720"/>
        <w:contextualSpacing/>
        <w:jc w:val="both"/>
        <w:rPr>
          <w:rFonts w:asciiTheme="majorBidi" w:hAnsiTheme="majorBidi" w:cstheme="majorBidi"/>
          <w:color w:val="000000" w:themeColor="text1"/>
          <w:sz w:val="24"/>
          <w:szCs w:val="24"/>
        </w:rPr>
      </w:pPr>
    </w:p>
    <w:p w14:paraId="6D13C26E" w14:textId="77777777" w:rsidR="007D271B" w:rsidRPr="007D271B" w:rsidRDefault="3C901CF7" w:rsidP="003E79AD">
      <w:pPr>
        <w:spacing w:line="480" w:lineRule="auto"/>
        <w:ind w:firstLine="720"/>
        <w:contextualSpacing/>
        <w:jc w:val="center"/>
        <w:rPr>
          <w:rFonts w:asciiTheme="majorBidi" w:hAnsiTheme="majorBidi" w:cstheme="majorBidi"/>
          <w:b/>
          <w:bCs/>
          <w:color w:val="000000" w:themeColor="text1"/>
          <w:sz w:val="24"/>
          <w:szCs w:val="24"/>
        </w:rPr>
      </w:pPr>
      <w:r w:rsidRPr="3C901CF7">
        <w:rPr>
          <w:rFonts w:asciiTheme="majorBidi" w:hAnsiTheme="majorBidi" w:cstheme="majorBidi"/>
          <w:b/>
          <w:bCs/>
          <w:color w:val="000000" w:themeColor="text1"/>
          <w:sz w:val="24"/>
          <w:szCs w:val="24"/>
        </w:rPr>
        <w:t>Impacts of Alternative Courses of Action to the Stakeholders</w:t>
      </w:r>
    </w:p>
    <w:p w14:paraId="0CBCDB31" w14:textId="6743611E" w:rsidR="007D271B" w:rsidRDefault="3C901CF7" w:rsidP="3C901CF7">
      <w:pPr>
        <w:spacing w:line="480" w:lineRule="auto"/>
        <w:ind w:firstLine="720"/>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 xml:space="preserve">The alternative courses of action would have had impacts for the stakeholders. The management of the organization would have detected the contaminated drug early and removed it from the market. Finding the individual that was responsible for the contamination would build trust between the organization and the consumers. The shareholders of the organization would not have experienced a surge in profits and shares. The profits would have only decreased slightly and not impacting the shareholders much. The investigation of the employees would ensure that none of them is blamed for the production of a contaminated drug. Customers and medical practitioners would have been aware of any side effects of ingredient that had not been mentioned to be part of the drug. The government would not have faced an uproar that resulted from the news about the death of people that had consumed the drug. Investigating all the employees and finding the malice person would have given the government an easy task when dealing with the issue. Non-governmental organizations would have defended the company if it had been honest throughout the process of production and distribution of the drug. The investigation of employees and finding the culprit would prevent the non-governmental organizations from blaming the company. </w:t>
      </w:r>
    </w:p>
    <w:p w14:paraId="1EF1A733" w14:textId="77777777" w:rsidR="003E79AD" w:rsidRPr="007D271B" w:rsidRDefault="003E79AD" w:rsidP="3C901CF7">
      <w:pPr>
        <w:spacing w:line="480" w:lineRule="auto"/>
        <w:ind w:firstLine="720"/>
        <w:contextualSpacing/>
        <w:jc w:val="both"/>
        <w:rPr>
          <w:rFonts w:asciiTheme="majorBidi" w:hAnsiTheme="majorBidi" w:cstheme="majorBidi"/>
          <w:color w:val="000000" w:themeColor="text1"/>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1"/>
        <w:gridCol w:w="2905"/>
        <w:gridCol w:w="2834"/>
      </w:tblGrid>
      <w:tr w:rsidR="007D271B" w:rsidRPr="007D271B" w14:paraId="4058CB5C" w14:textId="77777777" w:rsidTr="68BDFBBF">
        <w:tc>
          <w:tcPr>
            <w:tcW w:w="3192" w:type="dxa"/>
          </w:tcPr>
          <w:p w14:paraId="7583BB72" w14:textId="77777777" w:rsidR="007D271B" w:rsidRPr="007D271B" w:rsidRDefault="68BDFBBF" w:rsidP="68BDFBBF">
            <w:pPr>
              <w:spacing w:after="0" w:line="480" w:lineRule="auto"/>
              <w:contextualSpacing/>
              <w:jc w:val="center"/>
              <w:rPr>
                <w:rFonts w:asciiTheme="majorBidi" w:hAnsiTheme="majorBidi" w:cstheme="majorBidi"/>
                <w:b/>
                <w:bCs/>
                <w:color w:val="000000" w:themeColor="text1"/>
                <w:sz w:val="24"/>
                <w:szCs w:val="24"/>
              </w:rPr>
            </w:pPr>
            <w:r w:rsidRPr="68BDFBBF">
              <w:rPr>
                <w:rFonts w:asciiTheme="majorBidi" w:hAnsiTheme="majorBidi" w:cstheme="majorBidi"/>
                <w:b/>
                <w:bCs/>
                <w:color w:val="000000" w:themeColor="text1"/>
                <w:sz w:val="24"/>
                <w:szCs w:val="24"/>
              </w:rPr>
              <w:lastRenderedPageBreak/>
              <w:t>Stakeholders</w:t>
            </w:r>
          </w:p>
        </w:tc>
        <w:tc>
          <w:tcPr>
            <w:tcW w:w="3192" w:type="dxa"/>
          </w:tcPr>
          <w:p w14:paraId="2BC178B7" w14:textId="77777777" w:rsidR="007D271B" w:rsidRPr="007D271B" w:rsidRDefault="68BDFBBF" w:rsidP="68BDFBBF">
            <w:pPr>
              <w:spacing w:after="0" w:line="480" w:lineRule="auto"/>
              <w:contextualSpacing/>
              <w:jc w:val="center"/>
              <w:rPr>
                <w:rFonts w:asciiTheme="majorBidi" w:hAnsiTheme="majorBidi" w:cstheme="majorBidi"/>
                <w:b/>
                <w:bCs/>
                <w:color w:val="000000" w:themeColor="text1"/>
                <w:sz w:val="24"/>
                <w:szCs w:val="24"/>
              </w:rPr>
            </w:pPr>
            <w:r w:rsidRPr="68BDFBBF">
              <w:rPr>
                <w:rFonts w:asciiTheme="majorBidi" w:hAnsiTheme="majorBidi" w:cstheme="majorBidi"/>
                <w:b/>
                <w:bCs/>
                <w:color w:val="000000" w:themeColor="text1"/>
                <w:sz w:val="24"/>
                <w:szCs w:val="24"/>
              </w:rPr>
              <w:t>Cost</w:t>
            </w:r>
          </w:p>
        </w:tc>
        <w:tc>
          <w:tcPr>
            <w:tcW w:w="3192" w:type="dxa"/>
          </w:tcPr>
          <w:p w14:paraId="48CD347D" w14:textId="77777777" w:rsidR="007D271B" w:rsidRPr="007D271B" w:rsidRDefault="68BDFBBF" w:rsidP="68BDFBBF">
            <w:pPr>
              <w:spacing w:after="0" w:line="480" w:lineRule="auto"/>
              <w:contextualSpacing/>
              <w:jc w:val="center"/>
              <w:rPr>
                <w:rFonts w:asciiTheme="majorBidi" w:hAnsiTheme="majorBidi" w:cstheme="majorBidi"/>
                <w:b/>
                <w:bCs/>
                <w:color w:val="000000" w:themeColor="text1"/>
                <w:sz w:val="24"/>
                <w:szCs w:val="24"/>
              </w:rPr>
            </w:pPr>
            <w:r w:rsidRPr="68BDFBBF">
              <w:rPr>
                <w:rFonts w:asciiTheme="majorBidi" w:hAnsiTheme="majorBidi" w:cstheme="majorBidi"/>
                <w:b/>
                <w:bCs/>
                <w:color w:val="000000" w:themeColor="text1"/>
                <w:sz w:val="24"/>
                <w:szCs w:val="24"/>
              </w:rPr>
              <w:t>Benefit</w:t>
            </w:r>
          </w:p>
        </w:tc>
      </w:tr>
      <w:tr w:rsidR="007D271B" w:rsidRPr="007D271B" w14:paraId="1707B931" w14:textId="77777777" w:rsidTr="68BDFBBF">
        <w:tc>
          <w:tcPr>
            <w:tcW w:w="3192" w:type="dxa"/>
          </w:tcPr>
          <w:p w14:paraId="324DA9E6"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Management</w:t>
            </w:r>
          </w:p>
        </w:tc>
        <w:tc>
          <w:tcPr>
            <w:tcW w:w="3192" w:type="dxa"/>
          </w:tcPr>
          <w:p w14:paraId="1223D1E5"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Increased cost</w:t>
            </w:r>
          </w:p>
        </w:tc>
        <w:tc>
          <w:tcPr>
            <w:tcW w:w="3192" w:type="dxa"/>
          </w:tcPr>
          <w:p w14:paraId="2E3AAA36"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Consistent reputation</w:t>
            </w:r>
          </w:p>
        </w:tc>
      </w:tr>
      <w:tr w:rsidR="007D271B" w:rsidRPr="007D271B" w14:paraId="40E47406" w14:textId="77777777" w:rsidTr="68BDFBBF">
        <w:tc>
          <w:tcPr>
            <w:tcW w:w="3192" w:type="dxa"/>
          </w:tcPr>
          <w:p w14:paraId="0B6927AB"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Shareholders</w:t>
            </w:r>
          </w:p>
        </w:tc>
        <w:tc>
          <w:tcPr>
            <w:tcW w:w="3192" w:type="dxa"/>
          </w:tcPr>
          <w:p w14:paraId="6C6130F9"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Slightly reduced profits and shares</w:t>
            </w:r>
          </w:p>
        </w:tc>
        <w:tc>
          <w:tcPr>
            <w:tcW w:w="3192" w:type="dxa"/>
          </w:tcPr>
          <w:p w14:paraId="48ABDAA0"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No large losses</w:t>
            </w:r>
          </w:p>
        </w:tc>
      </w:tr>
      <w:tr w:rsidR="007D271B" w:rsidRPr="007D271B" w14:paraId="3341D74B" w14:textId="77777777" w:rsidTr="68BDFBBF">
        <w:tc>
          <w:tcPr>
            <w:tcW w:w="3192" w:type="dxa"/>
          </w:tcPr>
          <w:p w14:paraId="4AD7B3D3"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Employees</w:t>
            </w:r>
          </w:p>
        </w:tc>
        <w:tc>
          <w:tcPr>
            <w:tcW w:w="3192" w:type="dxa"/>
          </w:tcPr>
          <w:p w14:paraId="3711BE67"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Accountability</w:t>
            </w:r>
          </w:p>
        </w:tc>
        <w:tc>
          <w:tcPr>
            <w:tcW w:w="3192" w:type="dxa"/>
          </w:tcPr>
          <w:p w14:paraId="00EF7BE5"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No blames</w:t>
            </w:r>
          </w:p>
        </w:tc>
      </w:tr>
      <w:tr w:rsidR="007D271B" w:rsidRPr="007D271B" w14:paraId="4BDF0071" w14:textId="77777777" w:rsidTr="68BDFBBF">
        <w:tc>
          <w:tcPr>
            <w:tcW w:w="3192" w:type="dxa"/>
          </w:tcPr>
          <w:p w14:paraId="7746E6B9"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Customers</w:t>
            </w:r>
          </w:p>
        </w:tc>
        <w:tc>
          <w:tcPr>
            <w:tcW w:w="3192" w:type="dxa"/>
          </w:tcPr>
          <w:p w14:paraId="52360E55"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None</w:t>
            </w:r>
          </w:p>
        </w:tc>
        <w:tc>
          <w:tcPr>
            <w:tcW w:w="3192" w:type="dxa"/>
          </w:tcPr>
          <w:p w14:paraId="1635AD02"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Prevention of death</w:t>
            </w:r>
          </w:p>
        </w:tc>
      </w:tr>
      <w:tr w:rsidR="007D271B" w:rsidRPr="007D271B" w14:paraId="12059A8F" w14:textId="77777777" w:rsidTr="68BDFBBF">
        <w:tc>
          <w:tcPr>
            <w:tcW w:w="3192" w:type="dxa"/>
          </w:tcPr>
          <w:p w14:paraId="42D622BC"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Government</w:t>
            </w:r>
          </w:p>
        </w:tc>
        <w:tc>
          <w:tcPr>
            <w:tcW w:w="3192" w:type="dxa"/>
          </w:tcPr>
          <w:p w14:paraId="1027424A"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None</w:t>
            </w:r>
          </w:p>
        </w:tc>
        <w:tc>
          <w:tcPr>
            <w:tcW w:w="3192" w:type="dxa"/>
          </w:tcPr>
          <w:p w14:paraId="760B85F4"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Speed up case</w:t>
            </w:r>
          </w:p>
        </w:tc>
      </w:tr>
      <w:tr w:rsidR="007D271B" w:rsidRPr="007D271B" w14:paraId="7E4ADE4F" w14:textId="77777777" w:rsidTr="68BDFBBF">
        <w:tc>
          <w:tcPr>
            <w:tcW w:w="3192" w:type="dxa"/>
          </w:tcPr>
          <w:p w14:paraId="7942EE18" w14:textId="77777777" w:rsidR="007D271B" w:rsidRPr="007D271B" w:rsidRDefault="3C901CF7" w:rsidP="3C901CF7">
            <w:pPr>
              <w:spacing w:after="0" w:line="480" w:lineRule="auto"/>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t>Organizations</w:t>
            </w:r>
          </w:p>
        </w:tc>
        <w:tc>
          <w:tcPr>
            <w:tcW w:w="3192" w:type="dxa"/>
          </w:tcPr>
          <w:p w14:paraId="340A8091"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None</w:t>
            </w:r>
          </w:p>
        </w:tc>
        <w:tc>
          <w:tcPr>
            <w:tcW w:w="3192" w:type="dxa"/>
          </w:tcPr>
          <w:p w14:paraId="25F29E0F" w14:textId="77777777" w:rsidR="007D271B" w:rsidRPr="007D271B" w:rsidRDefault="68BDFBBF" w:rsidP="68BDFBBF">
            <w:pPr>
              <w:spacing w:after="0" w:line="480" w:lineRule="auto"/>
              <w:contextualSpacing/>
              <w:jc w:val="center"/>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 xml:space="preserve">Defend the company </w:t>
            </w:r>
          </w:p>
        </w:tc>
      </w:tr>
    </w:tbl>
    <w:p w14:paraId="1FC39945" w14:textId="77777777" w:rsidR="007D271B" w:rsidRPr="007D271B" w:rsidRDefault="007D271B" w:rsidP="007D271B">
      <w:pPr>
        <w:spacing w:line="480" w:lineRule="auto"/>
        <w:ind w:firstLine="720"/>
        <w:contextualSpacing/>
        <w:jc w:val="both"/>
        <w:rPr>
          <w:rFonts w:asciiTheme="majorBidi" w:hAnsiTheme="majorBidi" w:cstheme="majorBidi"/>
          <w:color w:val="000000"/>
          <w:sz w:val="24"/>
          <w:szCs w:val="24"/>
        </w:rPr>
      </w:pPr>
    </w:p>
    <w:p w14:paraId="71A4937B" w14:textId="77777777" w:rsidR="007D271B" w:rsidRPr="007D271B" w:rsidRDefault="007D271B" w:rsidP="003E79AD">
      <w:pPr>
        <w:spacing w:line="480" w:lineRule="auto"/>
        <w:contextualSpacing/>
        <w:jc w:val="center"/>
        <w:rPr>
          <w:rFonts w:asciiTheme="majorBidi" w:hAnsiTheme="majorBidi" w:cstheme="majorBidi"/>
          <w:b/>
          <w:bCs/>
          <w:sz w:val="24"/>
          <w:szCs w:val="24"/>
        </w:rPr>
      </w:pPr>
      <w:r w:rsidRPr="3C901CF7">
        <w:rPr>
          <w:rFonts w:asciiTheme="majorBidi" w:hAnsiTheme="majorBidi" w:cstheme="majorBidi"/>
          <w:b/>
          <w:bCs/>
          <w:sz w:val="24"/>
          <w:szCs w:val="24"/>
          <w:shd w:val="clear" w:color="auto" w:fill="FFFFFF"/>
        </w:rPr>
        <w:t>Ethical Principle for Reviewing the Cost/Benefit Analysis of Alternative Action</w:t>
      </w:r>
    </w:p>
    <w:p w14:paraId="34CE0A41" w14:textId="47AFBBAA" w:rsidR="007D271B" w:rsidRDefault="007D271B" w:rsidP="68BDFBBF">
      <w:pPr>
        <w:spacing w:line="480" w:lineRule="auto"/>
        <w:contextualSpacing/>
        <w:jc w:val="both"/>
        <w:rPr>
          <w:rFonts w:asciiTheme="majorBidi" w:hAnsiTheme="majorBidi" w:cstheme="majorBidi"/>
          <w:sz w:val="24"/>
          <w:szCs w:val="24"/>
          <w:shd w:val="clear" w:color="auto" w:fill="FFFFFF"/>
        </w:rPr>
      </w:pPr>
      <w:r w:rsidRPr="007D271B">
        <w:rPr>
          <w:rFonts w:asciiTheme="majorBidi" w:hAnsiTheme="majorBidi" w:cstheme="majorBidi"/>
          <w:b/>
          <w:bCs/>
          <w:sz w:val="24"/>
          <w:szCs w:val="24"/>
          <w:shd w:val="clear" w:color="auto" w:fill="FFFFFF"/>
        </w:rPr>
        <w:tab/>
      </w:r>
      <w:r w:rsidRPr="3C901CF7">
        <w:rPr>
          <w:rFonts w:asciiTheme="majorBidi" w:hAnsiTheme="majorBidi" w:cstheme="majorBidi"/>
          <w:sz w:val="24"/>
          <w:szCs w:val="24"/>
          <w:shd w:val="clear" w:color="auto" w:fill="FFFFFF"/>
        </w:rPr>
        <w:t>Different ethical principles can apply in reviewing the cost/benefit analysis of the alternative courses of action. Organizations are expected to be honest and truthful in all their dealings (</w:t>
      </w:r>
      <w:proofErr w:type="spellStart"/>
      <w:r w:rsidRPr="3C901CF7">
        <w:rPr>
          <w:rFonts w:asciiTheme="majorBidi" w:hAnsiTheme="majorBidi" w:cstheme="majorBidi"/>
          <w:color w:val="000000"/>
          <w:sz w:val="24"/>
          <w:szCs w:val="24"/>
        </w:rPr>
        <w:t>Ezigbo</w:t>
      </w:r>
      <w:proofErr w:type="spellEnd"/>
      <w:r w:rsidRPr="3C901CF7">
        <w:rPr>
          <w:rFonts w:asciiTheme="majorBidi" w:hAnsiTheme="majorBidi" w:cstheme="majorBidi"/>
          <w:color w:val="000000"/>
          <w:sz w:val="24"/>
          <w:szCs w:val="24"/>
        </w:rPr>
        <w:t>, 2013</w:t>
      </w:r>
      <w:r w:rsidRPr="3C901CF7">
        <w:rPr>
          <w:rFonts w:asciiTheme="majorBidi" w:hAnsiTheme="majorBidi" w:cstheme="majorBidi"/>
          <w:sz w:val="24"/>
          <w:szCs w:val="24"/>
          <w:shd w:val="clear" w:color="auto" w:fill="FFFFFF"/>
        </w:rPr>
        <w:t>). In the past, Johnson and Johnson failed to demonstrated honesty in the production of Tylenol. As a result of this, it became difficult to prove that it was not involved in the scandal. Medical practitioners and consumers had indicated that they were not aware of the content of the drug or their side effects. Companies have the duty of ensuring that they implement fair business practices (</w:t>
      </w:r>
      <w:proofErr w:type="spellStart"/>
      <w:r w:rsidRPr="3C901CF7">
        <w:rPr>
          <w:rFonts w:asciiTheme="majorBidi" w:hAnsiTheme="majorBidi" w:cstheme="majorBidi"/>
          <w:sz w:val="24"/>
          <w:szCs w:val="24"/>
          <w:shd w:val="clear" w:color="auto" w:fill="FFFFFF"/>
        </w:rPr>
        <w:t>Ezigbo</w:t>
      </w:r>
      <w:proofErr w:type="spellEnd"/>
      <w:r w:rsidRPr="3C901CF7">
        <w:rPr>
          <w:rFonts w:asciiTheme="majorBidi" w:hAnsiTheme="majorBidi" w:cstheme="majorBidi"/>
          <w:sz w:val="24"/>
          <w:szCs w:val="24"/>
          <w:shd w:val="clear" w:color="auto" w:fill="FFFFFF"/>
        </w:rPr>
        <w:t xml:space="preserve">, 2013). These practices must be ones that ensure that employees work in accordance with ethical principles that have been laid down by the organization. In line with this, Johnson and Johnson was not aware of the individual that had introduced cyanide into the product. Therefore, it was difficult to determine whether it was one of the employees or not. By investigating its employees, it would show the public that it was upholding fair employment practices. The companies have the role of ensuring that products introduced </w:t>
      </w:r>
      <w:r w:rsidRPr="3C901CF7">
        <w:rPr>
          <w:rFonts w:asciiTheme="majorBidi" w:hAnsiTheme="majorBidi" w:cstheme="majorBidi"/>
          <w:sz w:val="24"/>
          <w:szCs w:val="24"/>
          <w:shd w:val="clear" w:color="auto" w:fill="FFFFFF"/>
        </w:rPr>
        <w:lastRenderedPageBreak/>
        <w:t>in the market are safe and of high quality (</w:t>
      </w:r>
      <w:proofErr w:type="spellStart"/>
      <w:r w:rsidRPr="3C901CF7">
        <w:rPr>
          <w:rFonts w:asciiTheme="majorBidi" w:hAnsiTheme="majorBidi" w:cstheme="majorBidi"/>
          <w:sz w:val="24"/>
          <w:szCs w:val="24"/>
          <w:shd w:val="clear" w:color="auto" w:fill="FFFFFF"/>
        </w:rPr>
        <w:t>Ezigbo</w:t>
      </w:r>
      <w:proofErr w:type="spellEnd"/>
      <w:r w:rsidRPr="3C901CF7">
        <w:rPr>
          <w:rFonts w:asciiTheme="majorBidi" w:hAnsiTheme="majorBidi" w:cstheme="majorBidi"/>
          <w:sz w:val="24"/>
          <w:szCs w:val="24"/>
          <w:shd w:val="clear" w:color="auto" w:fill="FFFFFF"/>
        </w:rPr>
        <w:t xml:space="preserve">, 2013). Therefore, if the company had completely removed the product from the market, there would be no more issues of death. </w:t>
      </w:r>
    </w:p>
    <w:p w14:paraId="3BBF4B5D" w14:textId="77777777" w:rsidR="003E79AD" w:rsidRPr="007D271B" w:rsidRDefault="003E79AD" w:rsidP="68BDFBBF">
      <w:pPr>
        <w:spacing w:line="480" w:lineRule="auto"/>
        <w:contextualSpacing/>
        <w:jc w:val="both"/>
        <w:rPr>
          <w:rFonts w:asciiTheme="majorBidi" w:hAnsiTheme="majorBidi" w:cstheme="majorBidi"/>
          <w:sz w:val="24"/>
          <w:szCs w:val="24"/>
        </w:rPr>
      </w:pPr>
    </w:p>
    <w:p w14:paraId="6F18CB14" w14:textId="4207BCC0" w:rsidR="007D271B" w:rsidRPr="007D271B" w:rsidRDefault="007D271B" w:rsidP="003E79AD">
      <w:pPr>
        <w:spacing w:line="480" w:lineRule="auto"/>
        <w:contextualSpacing/>
        <w:jc w:val="center"/>
        <w:rPr>
          <w:rFonts w:asciiTheme="majorBidi" w:hAnsiTheme="majorBidi" w:cstheme="majorBidi"/>
          <w:b/>
          <w:bCs/>
          <w:sz w:val="24"/>
          <w:szCs w:val="24"/>
        </w:rPr>
      </w:pPr>
      <w:r w:rsidRPr="3C901CF7">
        <w:rPr>
          <w:rFonts w:asciiTheme="majorBidi" w:hAnsiTheme="majorBidi" w:cstheme="majorBidi"/>
          <w:b/>
          <w:bCs/>
          <w:sz w:val="24"/>
          <w:szCs w:val="24"/>
          <w:shd w:val="clear" w:color="auto" w:fill="FFFFFF"/>
        </w:rPr>
        <w:t>Position/ Recommendations</w:t>
      </w:r>
    </w:p>
    <w:p w14:paraId="02B1BCD1" w14:textId="67181555" w:rsidR="007D271B" w:rsidRPr="007D271B" w:rsidRDefault="68BDFBBF" w:rsidP="68BDFBBF">
      <w:pPr>
        <w:spacing w:line="480" w:lineRule="auto"/>
        <w:ind w:firstLine="720"/>
        <w:contextualSpacing/>
        <w:jc w:val="both"/>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Companies have the sole responsibility of ensuring that their products and services are produced in accordance with the law. The safety and quality of the products should be the priority of companies (</w:t>
      </w:r>
      <w:proofErr w:type="spellStart"/>
      <w:r w:rsidRPr="68BDFBBF">
        <w:rPr>
          <w:rFonts w:asciiTheme="majorBidi" w:hAnsiTheme="majorBidi" w:cstheme="majorBidi"/>
          <w:color w:val="000000" w:themeColor="text1"/>
          <w:sz w:val="24"/>
          <w:szCs w:val="24"/>
        </w:rPr>
        <w:t>Ezigbo</w:t>
      </w:r>
      <w:proofErr w:type="spellEnd"/>
      <w:r w:rsidRPr="68BDFBBF">
        <w:rPr>
          <w:rFonts w:asciiTheme="majorBidi" w:hAnsiTheme="majorBidi" w:cstheme="majorBidi"/>
          <w:color w:val="000000" w:themeColor="text1"/>
          <w:sz w:val="24"/>
          <w:szCs w:val="24"/>
        </w:rPr>
        <w:t xml:space="preserve">, 2013). This is a great case for the health and safety of the consumers. Johnson and Johnson were in denial, initially, but took the appropriate steps to “make things right” and gained back its reputation, leaving room for questions of ethical principles. It blamed the contamination of Tylenol on an individual it was not aware of. The company failed to ensure that all its employees were cleared from the allegations and that the individual (s) that had contaminated the drug was captured. Instead, the company resorted to clearing only a part of the issue. The fact that the drug continued to kill people even after it was detected showed that the company did not ensure complete safety of the product. The company, at some point, did not educate the consumers about the product (University of Florida, 2018). The consumers and the medical practitioners had indicated that they had no information about the drug. Health and safety of the consumers should be a priority for all companies and especially for products such as the one that was produced by Johnson and Johnson that led to a major crisis. The company had the responsibility of providing all the required information about the drug. Doing so would have prevented the deaths of so many individuals that used the contaminated drug. Therefore, Johnson and Johnson should be blamed for this issue. </w:t>
      </w:r>
    </w:p>
    <w:p w14:paraId="72BC67B7" w14:textId="2ED796F2" w:rsidR="007D271B" w:rsidRDefault="3C901CF7" w:rsidP="3C901CF7">
      <w:pPr>
        <w:spacing w:line="480" w:lineRule="auto"/>
        <w:ind w:firstLine="720"/>
        <w:contextualSpacing/>
        <w:jc w:val="both"/>
        <w:rPr>
          <w:rFonts w:asciiTheme="majorBidi" w:hAnsiTheme="majorBidi" w:cstheme="majorBidi"/>
          <w:color w:val="000000" w:themeColor="text1"/>
          <w:sz w:val="24"/>
          <w:szCs w:val="24"/>
        </w:rPr>
      </w:pPr>
      <w:r w:rsidRPr="3C901CF7">
        <w:rPr>
          <w:rFonts w:asciiTheme="majorBidi" w:hAnsiTheme="majorBidi" w:cstheme="majorBidi"/>
          <w:color w:val="000000" w:themeColor="text1"/>
          <w:sz w:val="24"/>
          <w:szCs w:val="24"/>
        </w:rPr>
        <w:lastRenderedPageBreak/>
        <w:t xml:space="preserve">Different recommendations can thus apply in this study. First, companies should avoid the occurrence of any crisis (Srivastava, 2014). If companies adhere to all laws, it becomes easy to avoid any kind of crisis. Johnson and Johnson is a company with ethical principles and policies that guide the behavior of all the employees. Johnson and Johnson should have ensured that these policies are applied in the production of the product. The second recommendation is the importance of contracting a legal team to handle such issues (Driver, 2014). The purpose of the legal team would be to conduct all the necessary investigations and ensure that all allegations against the company are answered with relevant facts. The fact that the company did not carry out enough investigations indicates that it had an ineffective legal team. </w:t>
      </w:r>
    </w:p>
    <w:p w14:paraId="1FC67FCF" w14:textId="77777777" w:rsidR="003E79AD" w:rsidRPr="007D271B" w:rsidRDefault="003E79AD" w:rsidP="3C901CF7">
      <w:pPr>
        <w:spacing w:line="480" w:lineRule="auto"/>
        <w:ind w:firstLine="720"/>
        <w:contextualSpacing/>
        <w:jc w:val="both"/>
        <w:rPr>
          <w:rFonts w:asciiTheme="majorBidi" w:hAnsiTheme="majorBidi" w:cstheme="majorBidi"/>
          <w:color w:val="000000" w:themeColor="text1"/>
          <w:sz w:val="24"/>
          <w:szCs w:val="24"/>
        </w:rPr>
      </w:pPr>
    </w:p>
    <w:p w14:paraId="5A3D0946" w14:textId="77777777" w:rsidR="007D271B" w:rsidRPr="007D271B" w:rsidRDefault="3C901CF7" w:rsidP="003E79AD">
      <w:pPr>
        <w:spacing w:line="480" w:lineRule="auto"/>
        <w:ind w:firstLine="720"/>
        <w:contextualSpacing/>
        <w:jc w:val="center"/>
        <w:rPr>
          <w:rFonts w:asciiTheme="majorBidi" w:hAnsiTheme="majorBidi" w:cstheme="majorBidi"/>
          <w:b/>
          <w:bCs/>
          <w:color w:val="000000" w:themeColor="text1"/>
          <w:sz w:val="24"/>
          <w:szCs w:val="24"/>
        </w:rPr>
      </w:pPr>
      <w:r w:rsidRPr="3C901CF7">
        <w:rPr>
          <w:rFonts w:asciiTheme="majorBidi" w:hAnsiTheme="majorBidi" w:cstheme="majorBidi"/>
          <w:b/>
          <w:bCs/>
          <w:color w:val="000000" w:themeColor="text1"/>
          <w:sz w:val="24"/>
          <w:szCs w:val="24"/>
        </w:rPr>
        <w:t>Aftermath of the Incident</w:t>
      </w:r>
    </w:p>
    <w:p w14:paraId="1A2FB430" w14:textId="3678DF74" w:rsidR="007D271B" w:rsidRDefault="68BDFBBF" w:rsidP="68BDFBBF">
      <w:pPr>
        <w:spacing w:line="480" w:lineRule="auto"/>
        <w:ind w:firstLine="720"/>
        <w:contextualSpacing/>
        <w:jc w:val="both"/>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 xml:space="preserve">After the occurrence of the incident, Johnson and Johnson took several actions to ensure that Tylenol was back in the market. The Tylenol drug containers were reintroduced on to the market with a new triple safety seal packaging – a glued box, a plastic sear over the mouth of all bottles that would not be tampered with at all (University of California, 2018). The goal of the company was to ensure that no one would try to tamper with the seal and contaminate the product. The company ensured that it complied with all the rules of the United States Food and Drug Administration. The second action was to change the product type (University of California, 2018). The company shifted from capsules to tablets. This is because the tablets would not be easily tampered with unlike the capsules. With the reintroduction of the drug, the company wanted to motivate the consumers and as such it offered a 25% discount on all the purchases (University of California, 2018). Apart </w:t>
      </w:r>
      <w:r w:rsidRPr="68BDFBBF">
        <w:rPr>
          <w:rFonts w:asciiTheme="majorBidi" w:hAnsiTheme="majorBidi" w:cstheme="majorBidi"/>
          <w:color w:val="000000" w:themeColor="text1"/>
          <w:sz w:val="24"/>
          <w:szCs w:val="24"/>
        </w:rPr>
        <w:lastRenderedPageBreak/>
        <w:t xml:space="preserve">from this, the company also offered coupons to its consumers. The coupons were easily given out through newspapers and phone calls. The company used sales people to ensure that they regained the confidence of the public. </w:t>
      </w:r>
    </w:p>
    <w:p w14:paraId="562129EC" w14:textId="77777777" w:rsidR="003E79AD" w:rsidRPr="007D271B" w:rsidRDefault="003E79AD" w:rsidP="68BDFBBF">
      <w:pPr>
        <w:spacing w:line="480" w:lineRule="auto"/>
        <w:ind w:firstLine="720"/>
        <w:contextualSpacing/>
        <w:jc w:val="both"/>
        <w:rPr>
          <w:rFonts w:asciiTheme="majorBidi" w:hAnsiTheme="majorBidi" w:cstheme="majorBidi"/>
          <w:color w:val="000000" w:themeColor="text1"/>
          <w:sz w:val="24"/>
          <w:szCs w:val="24"/>
        </w:rPr>
      </w:pPr>
    </w:p>
    <w:p w14:paraId="27DA92CC" w14:textId="77777777" w:rsidR="007D271B" w:rsidRPr="007D271B" w:rsidRDefault="3C901CF7" w:rsidP="003E79AD">
      <w:pPr>
        <w:spacing w:line="480" w:lineRule="auto"/>
        <w:ind w:firstLine="720"/>
        <w:contextualSpacing/>
        <w:jc w:val="center"/>
        <w:rPr>
          <w:rFonts w:asciiTheme="majorBidi" w:hAnsiTheme="majorBidi" w:cstheme="majorBidi"/>
          <w:b/>
          <w:bCs/>
          <w:color w:val="000000" w:themeColor="text1"/>
          <w:sz w:val="24"/>
          <w:szCs w:val="24"/>
        </w:rPr>
      </w:pPr>
      <w:r w:rsidRPr="3C901CF7">
        <w:rPr>
          <w:rFonts w:asciiTheme="majorBidi" w:hAnsiTheme="majorBidi" w:cstheme="majorBidi"/>
          <w:b/>
          <w:bCs/>
          <w:color w:val="000000" w:themeColor="text1"/>
          <w:sz w:val="24"/>
          <w:szCs w:val="24"/>
        </w:rPr>
        <w:t xml:space="preserve">Lessons other corporations can </w:t>
      </w:r>
      <w:proofErr w:type="gramStart"/>
      <w:r w:rsidRPr="3C901CF7">
        <w:rPr>
          <w:rFonts w:asciiTheme="majorBidi" w:hAnsiTheme="majorBidi" w:cstheme="majorBidi"/>
          <w:b/>
          <w:bCs/>
          <w:color w:val="000000" w:themeColor="text1"/>
          <w:sz w:val="24"/>
          <w:szCs w:val="24"/>
        </w:rPr>
        <w:t>Learn</w:t>
      </w:r>
      <w:proofErr w:type="gramEnd"/>
    </w:p>
    <w:p w14:paraId="07459315" w14:textId="6A3D07BB" w:rsidR="00932F74" w:rsidRDefault="68BDFBBF" w:rsidP="003E79AD">
      <w:pPr>
        <w:spacing w:line="480" w:lineRule="auto"/>
        <w:ind w:firstLine="720"/>
        <w:contextualSpacing/>
        <w:jc w:val="both"/>
        <w:rPr>
          <w:rFonts w:asciiTheme="majorBidi" w:hAnsiTheme="majorBidi" w:cstheme="majorBidi"/>
          <w:color w:val="000000" w:themeColor="text1"/>
          <w:sz w:val="24"/>
          <w:szCs w:val="24"/>
        </w:rPr>
      </w:pPr>
      <w:r w:rsidRPr="68BDFBBF">
        <w:rPr>
          <w:rFonts w:asciiTheme="majorBidi" w:hAnsiTheme="majorBidi" w:cstheme="majorBidi"/>
          <w:color w:val="000000" w:themeColor="text1"/>
          <w:sz w:val="24"/>
          <w:szCs w:val="24"/>
        </w:rPr>
        <w:t>Corporations can learn from the Johnson and Johnson Tylenol scandal. The case shows the importance of preparing for emergencies (Srivastava, 2014). Companies must at all times strive to ensure that they have contingencies in place that can be used to counter any kind of emergency. Johnson and Johnson dealt with the scandal before it had escalated or killed a lot of people. Companies can learn the importance of utilizing resources in the right manner (Srivastava, 2014). The effective utilization of resources ensures that companies do not go bankrupt in the case of a scandal. Johnson and Johnson lost billions in attempting to do away with the drug on the market. However, it did not lead it to bankruptcy. Instead, the company regained the lost profits after it had managed to rebuild its reputation and regain the confidence and trust of the public. Companies can also learn the importance of proper planning in dealing with scandals. An effective plan saved Johnson and Johnson from collapsing.  Many scholars believed Johnson and Johnson’s position on the crisis is an example of success when faced with the destruction of the organization's reputation.  Johnson and Johnson’s handling of the Tylenol crisis exemplifies the socially responsible way of advancing crisis communication.  The CEO welcomed the public relations ambush, and responded to all public and media related questions.   Johnson and Johnson have demonstrated how to effectively handle a major disaster facing a business.</w:t>
      </w:r>
    </w:p>
    <w:p w14:paraId="425E92B6" w14:textId="77777777" w:rsidR="003E79AD" w:rsidRPr="003E79AD" w:rsidRDefault="003E79AD" w:rsidP="003E79AD">
      <w:pPr>
        <w:spacing w:line="480" w:lineRule="auto"/>
        <w:ind w:firstLine="720"/>
        <w:contextualSpacing/>
        <w:jc w:val="both"/>
        <w:rPr>
          <w:rFonts w:asciiTheme="majorBidi" w:hAnsiTheme="majorBidi" w:cstheme="majorBidi"/>
          <w:color w:val="000000" w:themeColor="text1"/>
          <w:sz w:val="24"/>
          <w:szCs w:val="24"/>
        </w:rPr>
      </w:pPr>
    </w:p>
    <w:p w14:paraId="071E4E01" w14:textId="77777777" w:rsidR="007D271B" w:rsidRPr="003E79AD" w:rsidRDefault="3C901CF7" w:rsidP="003E79AD">
      <w:pPr>
        <w:spacing w:line="480" w:lineRule="auto"/>
        <w:ind w:firstLine="720"/>
        <w:contextualSpacing/>
        <w:rPr>
          <w:rFonts w:asciiTheme="majorBidi" w:hAnsiTheme="majorBidi" w:cstheme="majorBidi"/>
          <w:b/>
          <w:color w:val="000000" w:themeColor="text1"/>
          <w:sz w:val="24"/>
          <w:szCs w:val="24"/>
        </w:rPr>
      </w:pPr>
      <w:r w:rsidRPr="003E79AD">
        <w:rPr>
          <w:rFonts w:asciiTheme="majorBidi" w:hAnsiTheme="majorBidi" w:cstheme="majorBidi"/>
          <w:b/>
          <w:color w:val="000000" w:themeColor="text1"/>
          <w:sz w:val="24"/>
          <w:szCs w:val="24"/>
        </w:rPr>
        <w:t>References</w:t>
      </w:r>
    </w:p>
    <w:p w14:paraId="06C3FDD2" w14:textId="77777777" w:rsidR="007D271B" w:rsidRPr="00932F74" w:rsidRDefault="3C901CF7" w:rsidP="3C901CF7">
      <w:pPr>
        <w:spacing w:line="480" w:lineRule="auto"/>
        <w:contextualSpacing/>
        <w:jc w:val="both"/>
        <w:rPr>
          <w:rFonts w:asciiTheme="majorBidi" w:hAnsiTheme="majorBidi" w:cstheme="majorBidi"/>
          <w:i/>
          <w:iCs/>
          <w:color w:val="000000" w:themeColor="text1"/>
        </w:rPr>
      </w:pPr>
      <w:r w:rsidRPr="3C901CF7">
        <w:rPr>
          <w:rFonts w:asciiTheme="majorBidi" w:hAnsiTheme="majorBidi" w:cstheme="majorBidi"/>
          <w:color w:val="000000" w:themeColor="text1"/>
        </w:rPr>
        <w:t xml:space="preserve">Driver, A. (2014). Avoiding scandals- A matter of corporate governance. </w:t>
      </w:r>
      <w:r w:rsidRPr="3C901CF7">
        <w:rPr>
          <w:rFonts w:asciiTheme="majorBidi" w:hAnsiTheme="majorBidi" w:cstheme="majorBidi"/>
          <w:i/>
          <w:iCs/>
          <w:color w:val="000000" w:themeColor="text1"/>
        </w:rPr>
        <w:t xml:space="preserve">Corporate Counsel </w:t>
      </w:r>
    </w:p>
    <w:p w14:paraId="13C155C2" w14:textId="77777777" w:rsidR="007D271B" w:rsidRPr="00932F74" w:rsidRDefault="007D271B" w:rsidP="3C901CF7">
      <w:pPr>
        <w:spacing w:line="480" w:lineRule="auto"/>
        <w:contextualSpacing/>
        <w:jc w:val="both"/>
        <w:rPr>
          <w:rFonts w:asciiTheme="majorBidi" w:hAnsiTheme="majorBidi" w:cstheme="majorBidi"/>
          <w:color w:val="000000" w:themeColor="text1"/>
        </w:rPr>
      </w:pPr>
      <w:r w:rsidRPr="00932F74">
        <w:rPr>
          <w:rFonts w:asciiTheme="majorBidi" w:hAnsiTheme="majorBidi" w:cstheme="majorBidi"/>
          <w:i/>
          <w:color w:val="000000"/>
        </w:rPr>
        <w:tab/>
      </w:r>
      <w:r w:rsidRPr="3C901CF7">
        <w:rPr>
          <w:rFonts w:asciiTheme="majorBidi" w:hAnsiTheme="majorBidi" w:cstheme="majorBidi"/>
          <w:i/>
          <w:iCs/>
          <w:color w:val="000000"/>
        </w:rPr>
        <w:t>Business Journal 14</w:t>
      </w:r>
      <w:r w:rsidRPr="3C901CF7">
        <w:rPr>
          <w:rFonts w:asciiTheme="majorBidi" w:hAnsiTheme="majorBidi" w:cstheme="majorBidi"/>
          <w:color w:val="000000"/>
        </w:rPr>
        <w:t>(41).</w:t>
      </w:r>
    </w:p>
    <w:p w14:paraId="7A3C81EC" w14:textId="77777777" w:rsidR="007D271B" w:rsidRPr="00932F74" w:rsidRDefault="3C901CF7" w:rsidP="3C901CF7">
      <w:pPr>
        <w:spacing w:line="480" w:lineRule="auto"/>
        <w:contextualSpacing/>
        <w:jc w:val="both"/>
        <w:rPr>
          <w:rFonts w:asciiTheme="majorBidi" w:hAnsiTheme="majorBidi" w:cstheme="majorBidi"/>
          <w:i/>
          <w:iCs/>
          <w:color w:val="000000" w:themeColor="text1"/>
        </w:rPr>
      </w:pPr>
      <w:proofErr w:type="spellStart"/>
      <w:r w:rsidRPr="3C901CF7">
        <w:rPr>
          <w:rFonts w:asciiTheme="majorBidi" w:hAnsiTheme="majorBidi" w:cstheme="majorBidi"/>
          <w:color w:val="000000" w:themeColor="text1"/>
        </w:rPr>
        <w:t>Eaddy</w:t>
      </w:r>
      <w:proofErr w:type="spellEnd"/>
      <w:r w:rsidRPr="3C901CF7">
        <w:rPr>
          <w:rFonts w:asciiTheme="majorBidi" w:hAnsiTheme="majorBidi" w:cstheme="majorBidi"/>
          <w:color w:val="000000" w:themeColor="text1"/>
        </w:rPr>
        <w:t xml:space="preserve">, L., L. (2012). Johnson and Johnson’s recall debacle. </w:t>
      </w:r>
      <w:r w:rsidRPr="3C901CF7">
        <w:rPr>
          <w:rFonts w:asciiTheme="majorBidi" w:hAnsiTheme="majorBidi" w:cstheme="majorBidi"/>
          <w:i/>
          <w:iCs/>
          <w:color w:val="000000" w:themeColor="text1"/>
        </w:rPr>
        <w:t xml:space="preserve">Electronic Theses and Dissertations </w:t>
      </w:r>
    </w:p>
    <w:p w14:paraId="765D5D4F" w14:textId="77777777" w:rsidR="007D271B" w:rsidRPr="00932F74" w:rsidRDefault="007D271B" w:rsidP="68BDFBBF">
      <w:pPr>
        <w:spacing w:line="480" w:lineRule="auto"/>
        <w:contextualSpacing/>
        <w:jc w:val="both"/>
        <w:rPr>
          <w:rFonts w:asciiTheme="majorBidi" w:hAnsiTheme="majorBidi" w:cstheme="majorBidi"/>
          <w:color w:val="000000" w:themeColor="text1"/>
        </w:rPr>
      </w:pPr>
      <w:r w:rsidRPr="00932F74">
        <w:rPr>
          <w:rFonts w:asciiTheme="majorBidi" w:hAnsiTheme="majorBidi" w:cstheme="majorBidi"/>
          <w:i/>
          <w:color w:val="000000"/>
        </w:rPr>
        <w:tab/>
      </w:r>
      <w:r w:rsidRPr="68BDFBBF">
        <w:rPr>
          <w:rFonts w:asciiTheme="majorBidi" w:hAnsiTheme="majorBidi" w:cstheme="majorBidi"/>
          <w:i/>
          <w:iCs/>
          <w:color w:val="000000"/>
        </w:rPr>
        <w:t>2194</w:t>
      </w:r>
      <w:r w:rsidRPr="3C901CF7">
        <w:rPr>
          <w:rFonts w:asciiTheme="majorBidi" w:hAnsiTheme="majorBidi" w:cstheme="majorBidi"/>
          <w:color w:val="000000"/>
        </w:rPr>
        <w:t>.</w:t>
      </w:r>
    </w:p>
    <w:p w14:paraId="19844788" w14:textId="77777777" w:rsidR="007D271B" w:rsidRPr="00932F74" w:rsidRDefault="68BDFBBF" w:rsidP="68BDFBBF">
      <w:pPr>
        <w:spacing w:line="480" w:lineRule="auto"/>
        <w:contextualSpacing/>
        <w:jc w:val="both"/>
        <w:rPr>
          <w:rFonts w:asciiTheme="majorBidi" w:hAnsiTheme="majorBidi" w:cstheme="majorBidi"/>
          <w:color w:val="000000" w:themeColor="text1"/>
        </w:rPr>
      </w:pPr>
      <w:proofErr w:type="spellStart"/>
      <w:r w:rsidRPr="68BDFBBF">
        <w:rPr>
          <w:rFonts w:asciiTheme="majorBidi" w:hAnsiTheme="majorBidi" w:cstheme="majorBidi"/>
          <w:color w:val="000000" w:themeColor="text1"/>
        </w:rPr>
        <w:t>Ezigbo</w:t>
      </w:r>
      <w:proofErr w:type="spellEnd"/>
      <w:r w:rsidRPr="68BDFBBF">
        <w:rPr>
          <w:rFonts w:asciiTheme="majorBidi" w:hAnsiTheme="majorBidi" w:cstheme="majorBidi"/>
          <w:color w:val="000000" w:themeColor="text1"/>
        </w:rPr>
        <w:t xml:space="preserve">, C., A. (2012). Assessing enforcement of ethical principles in the work place. </w:t>
      </w:r>
    </w:p>
    <w:p w14:paraId="0F9739FB" w14:textId="77777777" w:rsidR="007D271B" w:rsidRPr="00932F74" w:rsidRDefault="007D271B" w:rsidP="3C901CF7">
      <w:pPr>
        <w:spacing w:line="480" w:lineRule="auto"/>
        <w:contextualSpacing/>
        <w:jc w:val="both"/>
        <w:rPr>
          <w:rFonts w:asciiTheme="majorBidi" w:hAnsiTheme="majorBidi" w:cstheme="majorBidi"/>
          <w:color w:val="000000" w:themeColor="text1"/>
        </w:rPr>
      </w:pPr>
      <w:r w:rsidRPr="00932F74">
        <w:rPr>
          <w:rFonts w:asciiTheme="majorBidi" w:hAnsiTheme="majorBidi" w:cstheme="majorBidi"/>
          <w:color w:val="000000"/>
        </w:rPr>
        <w:tab/>
      </w:r>
      <w:r w:rsidRPr="3C901CF7">
        <w:rPr>
          <w:rFonts w:asciiTheme="majorBidi" w:hAnsiTheme="majorBidi" w:cstheme="majorBidi"/>
          <w:i/>
          <w:iCs/>
          <w:color w:val="000000"/>
        </w:rPr>
        <w:t>International Journal of Business and Social Science 3</w:t>
      </w:r>
      <w:r w:rsidRPr="3C901CF7">
        <w:rPr>
          <w:rFonts w:asciiTheme="majorBidi" w:hAnsiTheme="majorBidi" w:cstheme="majorBidi"/>
          <w:color w:val="000000"/>
        </w:rPr>
        <w:t>(22).</w:t>
      </w:r>
    </w:p>
    <w:p w14:paraId="10D1B1F1" w14:textId="77777777" w:rsidR="007D271B" w:rsidRPr="00932F74" w:rsidRDefault="3C901CF7" w:rsidP="3C901CF7">
      <w:pPr>
        <w:spacing w:line="480" w:lineRule="auto"/>
        <w:contextualSpacing/>
        <w:jc w:val="both"/>
        <w:rPr>
          <w:rFonts w:asciiTheme="majorBidi" w:hAnsiTheme="majorBidi" w:cstheme="majorBidi"/>
          <w:i/>
          <w:iCs/>
          <w:color w:val="000000" w:themeColor="text1"/>
        </w:rPr>
      </w:pPr>
      <w:r w:rsidRPr="3C901CF7">
        <w:rPr>
          <w:rFonts w:asciiTheme="majorBidi" w:hAnsiTheme="majorBidi" w:cstheme="majorBidi"/>
          <w:color w:val="000000" w:themeColor="text1"/>
        </w:rPr>
        <w:t xml:space="preserve">Gallardo, L. (2016). Learning from Volkswagen: 6 tips for surviving a scandal. </w:t>
      </w:r>
      <w:r w:rsidRPr="3C901CF7">
        <w:rPr>
          <w:rFonts w:asciiTheme="majorBidi" w:hAnsiTheme="majorBidi" w:cstheme="majorBidi"/>
          <w:i/>
          <w:iCs/>
          <w:color w:val="000000" w:themeColor="text1"/>
        </w:rPr>
        <w:t xml:space="preserve">The </w:t>
      </w:r>
    </w:p>
    <w:p w14:paraId="08B5188C" w14:textId="77777777" w:rsidR="007D271B" w:rsidRPr="00932F74" w:rsidRDefault="007D271B" w:rsidP="3C901CF7">
      <w:pPr>
        <w:spacing w:line="480" w:lineRule="auto"/>
        <w:contextualSpacing/>
        <w:jc w:val="both"/>
        <w:rPr>
          <w:rFonts w:asciiTheme="majorBidi" w:hAnsiTheme="majorBidi" w:cstheme="majorBidi"/>
          <w:color w:val="000000" w:themeColor="text1"/>
        </w:rPr>
      </w:pPr>
      <w:r w:rsidRPr="00932F74">
        <w:rPr>
          <w:rFonts w:asciiTheme="majorBidi" w:hAnsiTheme="majorBidi" w:cstheme="majorBidi"/>
          <w:i/>
          <w:color w:val="000000"/>
        </w:rPr>
        <w:tab/>
      </w:r>
      <w:r w:rsidRPr="3C901CF7">
        <w:rPr>
          <w:rFonts w:asciiTheme="majorBidi" w:hAnsiTheme="majorBidi" w:cstheme="majorBidi"/>
          <w:i/>
          <w:iCs/>
          <w:color w:val="000000"/>
        </w:rPr>
        <w:t>Entrepreneur</w:t>
      </w:r>
      <w:r w:rsidRPr="3C901CF7">
        <w:rPr>
          <w:rFonts w:asciiTheme="majorBidi" w:hAnsiTheme="majorBidi" w:cstheme="majorBidi"/>
          <w:color w:val="000000"/>
        </w:rPr>
        <w:t xml:space="preserve">. Retrieved from </w:t>
      </w:r>
      <w:hyperlink r:id="rId8" w:history="1">
        <w:r w:rsidRPr="3C901CF7">
          <w:rPr>
            <w:rStyle w:val="Hyperlink"/>
            <w:rFonts w:asciiTheme="majorBidi" w:hAnsiTheme="majorBidi" w:cstheme="majorBidi"/>
            <w:color w:val="000000"/>
          </w:rPr>
          <w:t>https://www.entrepreneur.com/article/254151</w:t>
        </w:r>
      </w:hyperlink>
    </w:p>
    <w:p w14:paraId="61734EE6" w14:textId="77777777" w:rsidR="007D271B" w:rsidRPr="00932F74" w:rsidRDefault="3C901CF7" w:rsidP="3C901CF7">
      <w:pPr>
        <w:spacing w:line="480" w:lineRule="auto"/>
        <w:contextualSpacing/>
        <w:jc w:val="both"/>
        <w:rPr>
          <w:rFonts w:asciiTheme="majorBidi" w:hAnsiTheme="majorBidi" w:cstheme="majorBidi"/>
          <w:color w:val="000000" w:themeColor="text1"/>
        </w:rPr>
      </w:pPr>
      <w:r w:rsidRPr="3C901CF7">
        <w:rPr>
          <w:rFonts w:asciiTheme="majorBidi" w:hAnsiTheme="majorBidi" w:cstheme="majorBidi"/>
          <w:color w:val="000000" w:themeColor="text1"/>
        </w:rPr>
        <w:t xml:space="preserve">IBS Center for Management Research (2018). The Johnson and Johnson Tylenol controversies. </w:t>
      </w:r>
    </w:p>
    <w:p w14:paraId="765ACA42" w14:textId="77777777" w:rsidR="007D271B" w:rsidRPr="00932F74" w:rsidRDefault="3C901CF7" w:rsidP="3C901CF7">
      <w:pPr>
        <w:spacing w:line="480" w:lineRule="auto"/>
        <w:ind w:left="720"/>
        <w:contextualSpacing/>
        <w:jc w:val="both"/>
        <w:rPr>
          <w:rFonts w:asciiTheme="majorBidi" w:hAnsiTheme="majorBidi" w:cstheme="majorBidi"/>
          <w:color w:val="000000" w:themeColor="text1"/>
        </w:rPr>
      </w:pPr>
      <w:r w:rsidRPr="3C901CF7">
        <w:rPr>
          <w:rFonts w:asciiTheme="majorBidi" w:hAnsiTheme="majorBidi" w:cstheme="majorBidi"/>
          <w:color w:val="000000" w:themeColor="text1"/>
        </w:rPr>
        <w:t xml:space="preserve">Retrieved from </w:t>
      </w:r>
      <w:hyperlink r:id="rId9">
        <w:r w:rsidRPr="3C901CF7">
          <w:rPr>
            <w:rStyle w:val="Hyperlink"/>
            <w:rFonts w:asciiTheme="majorBidi" w:hAnsiTheme="majorBidi" w:cstheme="majorBidi"/>
            <w:color w:val="000000" w:themeColor="text1"/>
          </w:rPr>
          <w:t>http://www.icmrindia.org/casestudies/catalogue/Business%20Ethics/The%20Johnson%20&amp;%20Johnson%20Tylenol%20Controversies.htm</w:t>
        </w:r>
      </w:hyperlink>
    </w:p>
    <w:p w14:paraId="02493E3F" w14:textId="77777777" w:rsidR="007D271B" w:rsidRPr="00932F74" w:rsidRDefault="68BDFBBF" w:rsidP="68BDFBBF">
      <w:pPr>
        <w:spacing w:line="480" w:lineRule="auto"/>
        <w:contextualSpacing/>
        <w:jc w:val="both"/>
        <w:rPr>
          <w:rFonts w:asciiTheme="majorBidi" w:hAnsiTheme="majorBidi" w:cstheme="majorBidi"/>
          <w:color w:val="000000" w:themeColor="text1"/>
        </w:rPr>
      </w:pPr>
      <w:proofErr w:type="spellStart"/>
      <w:r w:rsidRPr="68BDFBBF">
        <w:rPr>
          <w:rFonts w:asciiTheme="majorBidi" w:hAnsiTheme="majorBidi" w:cstheme="majorBidi"/>
          <w:color w:val="000000" w:themeColor="text1"/>
        </w:rPr>
        <w:t>Slaba</w:t>
      </w:r>
      <w:proofErr w:type="spellEnd"/>
      <w:r w:rsidRPr="68BDFBBF">
        <w:rPr>
          <w:rFonts w:asciiTheme="majorBidi" w:hAnsiTheme="majorBidi" w:cstheme="majorBidi"/>
          <w:color w:val="000000" w:themeColor="text1"/>
        </w:rPr>
        <w:t xml:space="preserve">, M. (2016). Stakeholder profile and stakeholder mapping of SMEs. </w:t>
      </w:r>
      <w:proofErr w:type="spellStart"/>
      <w:r w:rsidRPr="68BDFBBF">
        <w:rPr>
          <w:rFonts w:asciiTheme="majorBidi" w:hAnsiTheme="majorBidi" w:cstheme="majorBidi"/>
          <w:i/>
          <w:iCs/>
          <w:color w:val="000000" w:themeColor="text1"/>
        </w:rPr>
        <w:t>Littera</w:t>
      </w:r>
      <w:proofErr w:type="spellEnd"/>
      <w:r w:rsidRPr="68BDFBBF">
        <w:rPr>
          <w:rFonts w:asciiTheme="majorBidi" w:hAnsiTheme="majorBidi" w:cstheme="majorBidi"/>
          <w:i/>
          <w:iCs/>
          <w:color w:val="000000" w:themeColor="text1"/>
        </w:rPr>
        <w:t xml:space="preserve"> </w:t>
      </w:r>
      <w:proofErr w:type="spellStart"/>
      <w:r w:rsidRPr="68BDFBBF">
        <w:rPr>
          <w:rFonts w:asciiTheme="majorBidi" w:hAnsiTheme="majorBidi" w:cstheme="majorBidi"/>
          <w:i/>
          <w:iCs/>
          <w:color w:val="000000" w:themeColor="text1"/>
        </w:rPr>
        <w:t>Scripta</w:t>
      </w:r>
      <w:proofErr w:type="spellEnd"/>
      <w:r w:rsidRPr="68BDFBBF">
        <w:rPr>
          <w:rFonts w:asciiTheme="majorBidi" w:hAnsiTheme="majorBidi" w:cstheme="majorBidi"/>
          <w:i/>
          <w:iCs/>
          <w:color w:val="000000" w:themeColor="text1"/>
        </w:rPr>
        <w:t xml:space="preserve"> 19</w:t>
      </w:r>
      <w:r w:rsidRPr="68BDFBBF">
        <w:rPr>
          <w:rFonts w:asciiTheme="majorBidi" w:hAnsiTheme="majorBidi" w:cstheme="majorBidi"/>
          <w:color w:val="000000" w:themeColor="text1"/>
        </w:rPr>
        <w:t xml:space="preserve">(1). </w:t>
      </w:r>
    </w:p>
    <w:p w14:paraId="5A6BD00E" w14:textId="77777777" w:rsidR="007D271B" w:rsidRPr="00932F74" w:rsidRDefault="3C901CF7" w:rsidP="3C901CF7">
      <w:pPr>
        <w:spacing w:line="480" w:lineRule="auto"/>
        <w:contextualSpacing/>
        <w:jc w:val="both"/>
        <w:rPr>
          <w:rFonts w:asciiTheme="majorBidi" w:hAnsiTheme="majorBidi" w:cstheme="majorBidi"/>
          <w:color w:val="000000" w:themeColor="text1"/>
        </w:rPr>
      </w:pPr>
      <w:r w:rsidRPr="3C901CF7">
        <w:rPr>
          <w:rFonts w:asciiTheme="majorBidi" w:hAnsiTheme="majorBidi" w:cstheme="majorBidi"/>
          <w:color w:val="000000" w:themeColor="text1"/>
        </w:rPr>
        <w:t xml:space="preserve">Srivastava, R. (2014). Johnson and Johnson and Tylenol case study. </w:t>
      </w:r>
      <w:r w:rsidRPr="3C901CF7">
        <w:rPr>
          <w:rFonts w:asciiTheme="majorBidi" w:hAnsiTheme="majorBidi" w:cstheme="majorBidi"/>
          <w:i/>
          <w:iCs/>
          <w:color w:val="000000" w:themeColor="text1"/>
        </w:rPr>
        <w:t>LinkedIn</w:t>
      </w:r>
      <w:r w:rsidRPr="3C901CF7">
        <w:rPr>
          <w:rFonts w:asciiTheme="majorBidi" w:hAnsiTheme="majorBidi" w:cstheme="majorBidi"/>
          <w:color w:val="000000" w:themeColor="text1"/>
        </w:rPr>
        <w:t xml:space="preserve">. Retrieved from </w:t>
      </w:r>
    </w:p>
    <w:p w14:paraId="4FE279CC" w14:textId="77777777" w:rsidR="007D271B" w:rsidRPr="00932F74" w:rsidRDefault="007D271B" w:rsidP="007D271B">
      <w:pPr>
        <w:spacing w:line="480" w:lineRule="auto"/>
        <w:contextualSpacing/>
        <w:jc w:val="both"/>
        <w:rPr>
          <w:rFonts w:asciiTheme="majorBidi" w:hAnsiTheme="majorBidi" w:cstheme="majorBidi"/>
          <w:color w:val="000000"/>
        </w:rPr>
      </w:pPr>
      <w:r w:rsidRPr="00932F74">
        <w:rPr>
          <w:rFonts w:asciiTheme="majorBidi" w:hAnsiTheme="majorBidi" w:cstheme="majorBidi"/>
          <w:color w:val="000000"/>
        </w:rPr>
        <w:tab/>
      </w:r>
      <w:hyperlink r:id="rId10" w:history="1">
        <w:r w:rsidRPr="00932F74">
          <w:rPr>
            <w:rStyle w:val="Hyperlink"/>
            <w:rFonts w:asciiTheme="majorBidi" w:hAnsiTheme="majorBidi" w:cstheme="majorBidi"/>
            <w:color w:val="000000"/>
          </w:rPr>
          <w:t>https://www.slideshare.net/rhitsrivastava/johnson-and-johnson-and-tylenol-case-study</w:t>
        </w:r>
      </w:hyperlink>
    </w:p>
    <w:p w14:paraId="1D88BA12" w14:textId="77777777" w:rsidR="007D271B" w:rsidRPr="00932F74" w:rsidRDefault="3C901CF7" w:rsidP="3C901CF7">
      <w:pPr>
        <w:spacing w:line="480" w:lineRule="auto"/>
        <w:contextualSpacing/>
        <w:jc w:val="both"/>
        <w:rPr>
          <w:rFonts w:asciiTheme="majorBidi" w:hAnsiTheme="majorBidi" w:cstheme="majorBidi"/>
          <w:color w:val="000000" w:themeColor="text1"/>
        </w:rPr>
      </w:pPr>
      <w:r w:rsidRPr="3C901CF7">
        <w:rPr>
          <w:rFonts w:asciiTheme="majorBidi" w:hAnsiTheme="majorBidi" w:cstheme="majorBidi"/>
          <w:color w:val="000000" w:themeColor="text1"/>
        </w:rPr>
        <w:t>University of Florida (2018). The Tylenol crisis, 1982. Retrieved from</w:t>
      </w:r>
    </w:p>
    <w:p w14:paraId="65E189E6" w14:textId="77777777" w:rsidR="007D271B" w:rsidRPr="00932F74" w:rsidRDefault="007D271B" w:rsidP="007D271B">
      <w:pPr>
        <w:spacing w:line="480" w:lineRule="auto"/>
        <w:contextualSpacing/>
        <w:jc w:val="both"/>
        <w:rPr>
          <w:rFonts w:asciiTheme="majorBidi" w:hAnsiTheme="majorBidi" w:cstheme="majorBidi"/>
          <w:color w:val="000000"/>
        </w:rPr>
      </w:pPr>
      <w:r w:rsidRPr="00932F74">
        <w:rPr>
          <w:rFonts w:asciiTheme="majorBidi" w:hAnsiTheme="majorBidi" w:cstheme="majorBidi"/>
          <w:color w:val="000000"/>
        </w:rPr>
        <w:tab/>
      </w:r>
      <w:hyperlink r:id="rId11" w:history="1">
        <w:r w:rsidRPr="00932F74">
          <w:rPr>
            <w:rStyle w:val="Hyperlink"/>
            <w:rFonts w:asciiTheme="majorBidi" w:hAnsiTheme="majorBidi" w:cstheme="majorBidi"/>
            <w:color w:val="000000"/>
          </w:rPr>
          <w:t>http://iml.jou.ufl.edu/projects/fall02/susi/tylenol.htm</w:t>
        </w:r>
      </w:hyperlink>
    </w:p>
    <w:p w14:paraId="6537F28F" w14:textId="77777777" w:rsidR="007D271B" w:rsidRDefault="007D271B"/>
    <w:sectPr w:rsidR="007D271B">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375F88" w14:textId="77777777" w:rsidR="00E3307E" w:rsidRDefault="00E3307E" w:rsidP="00932F74">
      <w:pPr>
        <w:spacing w:after="0" w:line="240" w:lineRule="auto"/>
      </w:pPr>
      <w:r>
        <w:separator/>
      </w:r>
    </w:p>
  </w:endnote>
  <w:endnote w:type="continuationSeparator" w:id="0">
    <w:p w14:paraId="6CF07347" w14:textId="77777777" w:rsidR="00E3307E" w:rsidRDefault="00E3307E" w:rsidP="00932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2609632"/>
      <w:docPartObj>
        <w:docPartGallery w:val="Page Numbers (Bottom of Page)"/>
        <w:docPartUnique/>
      </w:docPartObj>
    </w:sdtPr>
    <w:sdtEndPr>
      <w:rPr>
        <w:noProof/>
      </w:rPr>
    </w:sdtEndPr>
    <w:sdtContent>
      <w:p w14:paraId="3D3D22A9" w14:textId="497CB153" w:rsidR="00932F74" w:rsidRDefault="00932F74">
        <w:pPr>
          <w:pStyle w:val="Footer"/>
          <w:jc w:val="center"/>
        </w:pPr>
        <w:r>
          <w:fldChar w:fldCharType="begin"/>
        </w:r>
        <w:r>
          <w:instrText xml:space="preserve"> PAGE   \* MERGEFORMAT </w:instrText>
        </w:r>
        <w:r>
          <w:fldChar w:fldCharType="separate"/>
        </w:r>
        <w:r w:rsidR="0073698F">
          <w:rPr>
            <w:noProof/>
          </w:rPr>
          <w:t>14</w:t>
        </w:r>
        <w:r>
          <w:rPr>
            <w:noProof/>
          </w:rPr>
          <w:fldChar w:fldCharType="end"/>
        </w:r>
      </w:p>
    </w:sdtContent>
  </w:sdt>
  <w:p w14:paraId="44E871BC" w14:textId="77777777" w:rsidR="00932F74" w:rsidRDefault="00932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393F4" w14:textId="77777777" w:rsidR="00E3307E" w:rsidRDefault="00E3307E" w:rsidP="00932F74">
      <w:pPr>
        <w:spacing w:after="0" w:line="240" w:lineRule="auto"/>
      </w:pPr>
      <w:r>
        <w:separator/>
      </w:r>
    </w:p>
  </w:footnote>
  <w:footnote w:type="continuationSeparator" w:id="0">
    <w:p w14:paraId="3720B1E6" w14:textId="77777777" w:rsidR="00E3307E" w:rsidRDefault="00E3307E" w:rsidP="00932F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71B"/>
    <w:rsid w:val="003E79AD"/>
    <w:rsid w:val="0073698F"/>
    <w:rsid w:val="007D271B"/>
    <w:rsid w:val="00932F74"/>
    <w:rsid w:val="00E3307E"/>
    <w:rsid w:val="35D08629"/>
    <w:rsid w:val="3C901CF7"/>
    <w:rsid w:val="68BDFB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8414F"/>
  <w15:chartTrackingRefBased/>
  <w15:docId w15:val="{C4F49DA0-D110-4F59-BB05-4027F87F5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71B"/>
    <w:rPr>
      <w:rFonts w:ascii="Calibri" w:eastAsia="Calibri" w:hAnsi="Calibri" w:cs="Times New Roman"/>
    </w:rPr>
  </w:style>
  <w:style w:type="paragraph" w:styleId="Heading1">
    <w:name w:val="heading 1"/>
    <w:basedOn w:val="Normal"/>
    <w:next w:val="Normal"/>
    <w:link w:val="Heading1Char"/>
    <w:uiPriority w:val="9"/>
    <w:qFormat/>
    <w:rsid w:val="007D271B"/>
    <w:pPr>
      <w:keepNext/>
      <w:keepLines/>
      <w:spacing w:before="240" w:after="0"/>
      <w:outlineLvl w:val="0"/>
    </w:pPr>
    <w:rPr>
      <w:rFonts w:ascii="Calibri Light" w:eastAsia="Times New Roman" w:hAnsi="Calibri Light"/>
      <w:color w:val="2F5496"/>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71B"/>
    <w:rPr>
      <w:rFonts w:ascii="Calibri Light" w:eastAsia="Times New Roman" w:hAnsi="Calibri Light" w:cs="Times New Roman"/>
      <w:color w:val="2F5496"/>
      <w:sz w:val="32"/>
      <w:szCs w:val="32"/>
    </w:rPr>
  </w:style>
  <w:style w:type="character" w:styleId="Hyperlink">
    <w:name w:val="Hyperlink"/>
    <w:uiPriority w:val="99"/>
    <w:unhideWhenUsed/>
    <w:rsid w:val="007D271B"/>
    <w:rPr>
      <w:color w:val="0000FF"/>
      <w:u w:val="single"/>
    </w:rPr>
  </w:style>
  <w:style w:type="paragraph" w:styleId="Header">
    <w:name w:val="header"/>
    <w:basedOn w:val="Normal"/>
    <w:link w:val="HeaderChar"/>
    <w:uiPriority w:val="99"/>
    <w:unhideWhenUsed/>
    <w:rsid w:val="00932F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F74"/>
    <w:rPr>
      <w:rFonts w:ascii="Calibri" w:eastAsia="Calibri" w:hAnsi="Calibri" w:cs="Times New Roman"/>
    </w:rPr>
  </w:style>
  <w:style w:type="paragraph" w:styleId="Footer">
    <w:name w:val="footer"/>
    <w:basedOn w:val="Normal"/>
    <w:link w:val="FooterChar"/>
    <w:uiPriority w:val="99"/>
    <w:unhideWhenUsed/>
    <w:rsid w:val="00932F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F74"/>
    <w:rPr>
      <w:rFonts w:ascii="Calibri" w:eastAsia="Calibri" w:hAnsi="Calibri" w:cs="Times New Roman"/>
    </w:rPr>
  </w:style>
  <w:style w:type="character" w:customStyle="1" w:styleId="normaltextrun">
    <w:name w:val="normaltextrun"/>
    <w:basedOn w:val="DefaultParagraphFont"/>
    <w:rsid w:val="00736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trepreneur.com/article/254151"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iml.jou.ufl.edu/projects/fall02/susi/tylenol.htm" TargetMode="External"/><Relationship Id="rId5" Type="http://schemas.openxmlformats.org/officeDocument/2006/relationships/endnotes" Target="endnotes.xml"/><Relationship Id="rId10" Type="http://schemas.openxmlformats.org/officeDocument/2006/relationships/hyperlink" Target="https://www.slideshare.net/rhitsrivastava/johnson-and-johnson-and-tylenol-case-study" TargetMode="External"/><Relationship Id="rId4" Type="http://schemas.openxmlformats.org/officeDocument/2006/relationships/footnotes" Target="footnotes.xml"/><Relationship Id="rId9" Type="http://schemas.openxmlformats.org/officeDocument/2006/relationships/hyperlink" Target="http://www.icmrindia.org/casestudies/catalogue/Business%20Ethics/The%20Johnson%20&amp;%20Johnson%20Tylenol%20Controversies.htm" TargetMode="External"/><Relationship Id="rId14"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3281</Words>
  <Characters>18705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Alkhathlan, Saud (Barry Student)</cp:lastModifiedBy>
  <cp:revision>3</cp:revision>
  <dcterms:created xsi:type="dcterms:W3CDTF">2018-09-12T21:24:00Z</dcterms:created>
  <dcterms:modified xsi:type="dcterms:W3CDTF">2018-09-12T21:28:00Z</dcterms:modified>
</cp:coreProperties>
</file>